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bookmarkStart w:id="0" w:name="_GoBack"/>
      <w:r>
        <w:rPr>
          <w:rFonts w:hint="eastAsia" w:ascii="仿宋" w:hAnsi="仿宋" w:eastAsia="仿宋"/>
          <w:b/>
          <w:bCs/>
          <w:sz w:val="44"/>
          <w:szCs w:val="44"/>
        </w:rPr>
        <w:t>国家发展改革委关于完善</w:t>
      </w:r>
    </w:p>
    <w:p>
      <w:pPr>
        <w:jc w:val="center"/>
        <w:rPr>
          <w:rFonts w:hint="eastAsia" w:ascii="仿宋" w:hAnsi="仿宋" w:eastAsia="仿宋"/>
          <w:b/>
          <w:bCs/>
          <w:sz w:val="44"/>
          <w:szCs w:val="44"/>
        </w:rPr>
      </w:pPr>
      <w:r>
        <w:rPr>
          <w:rFonts w:hint="eastAsia" w:ascii="仿宋" w:hAnsi="仿宋" w:eastAsia="仿宋"/>
          <w:b/>
          <w:bCs/>
          <w:sz w:val="44"/>
          <w:szCs w:val="44"/>
        </w:rPr>
        <w:t>太阳能光伏发电上网电价政策的通知</w:t>
      </w:r>
    </w:p>
    <w:bookmarkEnd w:id="0"/>
    <w:p>
      <w:pPr>
        <w:jc w:val="center"/>
        <w:rPr>
          <w:b/>
          <w:bCs/>
          <w:sz w:val="32"/>
          <w:szCs w:val="32"/>
        </w:rPr>
      </w:pPr>
    </w:p>
    <w:p>
      <w:pPr>
        <w:jc w:val="center"/>
      </w:pPr>
      <w:r>
        <w:rPr>
          <w:rFonts w:hint="eastAsia"/>
        </w:rPr>
        <w:t>2011-08-01 10:03:09　来源: </w:t>
      </w:r>
      <w:r>
        <w:fldChar w:fldCharType="begin"/>
      </w:r>
      <w:r>
        <w:instrText xml:space="preserve"> HYPERLINK "http://www.gov.cn/zwgk/2011-08/01/content_1917358.htm" \t "_blank" </w:instrText>
      </w:r>
      <w:r>
        <w:fldChar w:fldCharType="separate"/>
      </w:r>
      <w:r>
        <w:rPr>
          <w:rStyle w:val="7"/>
          <w:rFonts w:hint="eastAsia"/>
        </w:rPr>
        <w:t>中国政府网</w:t>
      </w:r>
      <w:r>
        <w:rPr>
          <w:rStyle w:val="8"/>
          <w:rFonts w:hint="eastAsia"/>
        </w:rPr>
        <w:fldChar w:fldCharType="end"/>
      </w:r>
    </w:p>
    <w:p>
      <w:pPr>
        <w:jc w:val="center"/>
        <w:rPr>
          <w:rFonts w:hint="eastAsia"/>
          <w:b/>
        </w:rPr>
      </w:pPr>
      <w:r>
        <w:rPr>
          <w:rFonts w:hint="eastAsia"/>
          <w:b/>
        </w:rPr>
        <w:t>发改价格〔2011〕1594号</w:t>
      </w:r>
    </w:p>
    <w:p>
      <w:pPr>
        <w:jc w:val="center"/>
      </w:pPr>
    </w:p>
    <w:p>
      <w:pPr>
        <w:rPr>
          <w:rFonts w:ascii="仿宋" w:hAnsi="仿宋" w:eastAsia="仿宋"/>
          <w:b/>
          <w:sz w:val="24"/>
          <w:szCs w:val="24"/>
        </w:rPr>
      </w:pPr>
      <w:r>
        <w:rPr>
          <w:rFonts w:hint="eastAsia" w:ascii="仿宋" w:hAnsi="仿宋" w:eastAsia="仿宋"/>
          <w:b/>
          <w:sz w:val="24"/>
          <w:szCs w:val="24"/>
        </w:rPr>
        <w:t>各省、自治区、直辖市发展改革委、物价局：</w:t>
      </w:r>
    </w:p>
    <w:p>
      <w:pPr>
        <w:ind w:firstLine="648" w:firstLineChars="270"/>
        <w:rPr>
          <w:rFonts w:ascii="仿宋" w:hAnsi="仿宋" w:eastAsia="仿宋"/>
          <w:sz w:val="24"/>
          <w:szCs w:val="24"/>
        </w:rPr>
      </w:pPr>
      <w:r>
        <w:rPr>
          <w:rFonts w:hint="eastAsia" w:ascii="仿宋" w:hAnsi="仿宋" w:eastAsia="仿宋"/>
          <w:sz w:val="24"/>
          <w:szCs w:val="24"/>
        </w:rPr>
        <w:t>为规范太阳能光伏发电价格管理，促进太阳能光伏发电产业健康持续发展，决定完善太阳能光伏发电价格政策。现将有关事项通知如下：</w:t>
      </w:r>
    </w:p>
    <w:p>
      <w:pPr>
        <w:ind w:firstLine="648" w:firstLineChars="270"/>
        <w:rPr>
          <w:rFonts w:ascii="仿宋" w:hAnsi="仿宋" w:eastAsia="仿宋"/>
          <w:sz w:val="24"/>
          <w:szCs w:val="24"/>
        </w:rPr>
      </w:pPr>
      <w:r>
        <w:rPr>
          <w:rFonts w:hint="eastAsia" w:ascii="仿宋" w:hAnsi="仿宋" w:eastAsia="仿宋"/>
          <w:sz w:val="24"/>
          <w:szCs w:val="24"/>
        </w:rPr>
        <w:t>一、制定全国统一的太阳能光伏发电标杆上网电价。按照社会平均投资和运营成本，参考太阳能光伏电站招标价格，以及我国太阳能资源状况，对非招标太阳能光伏发电项目实行全国统一的标杆上网电价。</w:t>
      </w:r>
    </w:p>
    <w:p>
      <w:pPr>
        <w:ind w:firstLine="648" w:firstLineChars="270"/>
        <w:rPr>
          <w:rFonts w:ascii="仿宋" w:hAnsi="仿宋" w:eastAsia="仿宋"/>
          <w:sz w:val="24"/>
          <w:szCs w:val="24"/>
        </w:rPr>
      </w:pPr>
      <w:r>
        <w:rPr>
          <w:rFonts w:hint="eastAsia" w:ascii="仿宋" w:hAnsi="仿宋" w:eastAsia="仿宋"/>
          <w:sz w:val="24"/>
          <w:szCs w:val="24"/>
        </w:rPr>
        <w:t>（一）2011年7月1日以前核准建设、2011年12月31日建成投产、我委尚未核定价格的太阳能光伏发电项目，上网电价统一核定为每千瓦时1.15元（含税，下同）。</w:t>
      </w:r>
    </w:p>
    <w:p>
      <w:pPr>
        <w:ind w:firstLine="648" w:firstLineChars="270"/>
        <w:rPr>
          <w:rFonts w:ascii="仿宋" w:hAnsi="仿宋" w:eastAsia="仿宋"/>
          <w:sz w:val="24"/>
          <w:szCs w:val="24"/>
        </w:rPr>
      </w:pPr>
      <w:r>
        <w:rPr>
          <w:rFonts w:hint="eastAsia" w:ascii="仿宋" w:hAnsi="仿宋" w:eastAsia="仿宋"/>
          <w:sz w:val="24"/>
          <w:szCs w:val="24"/>
        </w:rPr>
        <w:t>（二）2011年7月1日及以后核准的太阳能光伏发电项目，以及2011年7月1日之前核准但截至2011年12月31日仍未建成投产的太阳能光伏发电项目，除西藏仍执行每千瓦时1.15元的上网电价外，其余省（区、市）上网电价均按每千瓦时1元执行。今后，我委将根据投资成本变化、技术进步情况等因素适时调整。</w:t>
      </w:r>
    </w:p>
    <w:p>
      <w:pPr>
        <w:ind w:firstLine="648" w:firstLineChars="270"/>
        <w:rPr>
          <w:rFonts w:ascii="仿宋" w:hAnsi="仿宋" w:eastAsia="仿宋"/>
          <w:sz w:val="24"/>
          <w:szCs w:val="24"/>
        </w:rPr>
      </w:pPr>
      <w:r>
        <w:rPr>
          <w:rFonts w:hint="eastAsia" w:ascii="仿宋" w:hAnsi="仿宋" w:eastAsia="仿宋"/>
          <w:sz w:val="24"/>
          <w:szCs w:val="24"/>
        </w:rPr>
        <w:t>二、通过特许权招标确定业主的太阳能光伏发电项目，其上网电价按中标价格执行，中标价格不得高于太阳能光伏发电标杆电价。</w:t>
      </w:r>
    </w:p>
    <w:p>
      <w:pPr>
        <w:ind w:firstLine="648" w:firstLineChars="270"/>
        <w:rPr>
          <w:rFonts w:ascii="仿宋" w:hAnsi="仿宋" w:eastAsia="仿宋"/>
          <w:sz w:val="24"/>
          <w:szCs w:val="24"/>
        </w:rPr>
      </w:pPr>
      <w:r>
        <w:rPr>
          <w:rFonts w:hint="eastAsia" w:ascii="仿宋" w:hAnsi="仿宋" w:eastAsia="仿宋"/>
          <w:sz w:val="24"/>
          <w:szCs w:val="24"/>
        </w:rPr>
        <w:t>三、对享受中央财政资金补贴的太阳能光伏发电项目，其上网电量按当地脱硫燃煤机组标杆上网电价执行。</w:t>
      </w:r>
    </w:p>
    <w:p>
      <w:pPr>
        <w:ind w:firstLine="648" w:firstLineChars="270"/>
        <w:rPr>
          <w:rFonts w:ascii="仿宋" w:hAnsi="仿宋" w:eastAsia="仿宋"/>
          <w:sz w:val="24"/>
          <w:szCs w:val="24"/>
        </w:rPr>
      </w:pPr>
      <w:r>
        <w:rPr>
          <w:rFonts w:hint="eastAsia" w:ascii="仿宋" w:hAnsi="仿宋" w:eastAsia="仿宋"/>
          <w:sz w:val="24"/>
          <w:szCs w:val="24"/>
        </w:rPr>
        <w:t>四、太阳能光伏发电项目上网电价高于当地脱硫燃煤机组标杆上网电价的部分，仍按《可再生能源发电价格和费用分摊管理试行办法》（发改价格〔2006〕7号）有关规定，通过全国征收的可再生能源电价附加解决。</w:t>
      </w:r>
    </w:p>
    <w:p>
      <w:pPr>
        <w:ind w:firstLine="3295" w:firstLineChars="1373"/>
        <w:rPr>
          <w:rFonts w:ascii="仿宋" w:hAnsi="仿宋" w:eastAsia="仿宋"/>
          <w:sz w:val="24"/>
          <w:szCs w:val="24"/>
        </w:rPr>
      </w:pPr>
      <w:r>
        <w:rPr>
          <w:rFonts w:hint="eastAsia" w:ascii="仿宋" w:hAnsi="仿宋" w:eastAsia="仿宋"/>
          <w:sz w:val="24"/>
          <w:szCs w:val="24"/>
        </w:rPr>
        <w:t>国家发展改革委</w:t>
      </w:r>
    </w:p>
    <w:p>
      <w:pPr>
        <w:ind w:firstLine="3295" w:firstLineChars="1373"/>
        <w:rPr>
          <w:rFonts w:ascii="仿宋" w:hAnsi="仿宋" w:eastAsia="仿宋"/>
          <w:sz w:val="24"/>
          <w:szCs w:val="24"/>
        </w:rPr>
      </w:pPr>
      <w:r>
        <w:rPr>
          <w:rFonts w:hint="eastAsia" w:ascii="仿宋" w:hAnsi="仿宋" w:eastAsia="仿宋"/>
          <w:sz w:val="24"/>
          <w:szCs w:val="24"/>
        </w:rPr>
        <w:t>二○一一年七月二十四日</w:t>
      </w:r>
    </w:p>
    <w:p>
      <w:pPr>
        <w:rPr>
          <w:rFonts w:hint="eastAsia"/>
          <w:sz w:val="24"/>
          <w:szCs w:val="24"/>
        </w:rPr>
      </w:pPr>
    </w:p>
    <w:p>
      <w:pPr>
        <w:rPr>
          <w:sz w:val="24"/>
          <w:szCs w:val="24"/>
        </w:rPr>
        <w:sectPr>
          <w:pgSz w:w="11906" w:h="16838"/>
          <w:pgMar w:top="1440" w:right="1800" w:bottom="1440" w:left="1800" w:header="851" w:footer="992" w:gutter="0"/>
          <w:cols w:space="425" w:num="1"/>
          <w:docGrid w:type="lines" w:linePitch="312" w:charSpace="0"/>
        </w:sectPr>
      </w:pPr>
    </w:p>
    <w:p>
      <w:pPr>
        <w:rPr>
          <w:sz w:val="24"/>
          <w:szCs w:val="24"/>
        </w:rPr>
      </w:pPr>
      <w:r>
        <w:drawing>
          <wp:inline distT="0" distB="0" distL="0" distR="0">
            <wp:extent cx="5274310" cy="74625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7462782"/>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CB"/>
    <w:rsid w:val="00097C9D"/>
    <w:rsid w:val="002B6AE1"/>
    <w:rsid w:val="003F2941"/>
    <w:rsid w:val="004A4ADC"/>
    <w:rsid w:val="005724F2"/>
    <w:rsid w:val="00843D29"/>
    <w:rsid w:val="00855458"/>
    <w:rsid w:val="00BA540C"/>
    <w:rsid w:val="00D301F6"/>
    <w:rsid w:val="00DB40CB"/>
    <w:rsid w:val="1169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800080"/>
      <w:u w:val="single"/>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中国石化</Company>
  <Pages>2</Pages>
  <Words>635</Words>
  <Characters>685</Characters>
  <Lines>5</Lines>
  <Paragraphs>1</Paragraphs>
  <TotalTime>14</TotalTime>
  <ScaleCrop>false</ScaleCrop>
  <LinksUpToDate>false</LinksUpToDate>
  <CharactersWithSpaces>688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2017-01-04T05:55:00Z</dcterms:created>
  <dc:creator>经秋霞</dc:creator>
  <cp:lastModifiedBy>Administrator</cp:lastModifiedBy>
  <dcterms:modified xsi:type="dcterms:W3CDTF">2022-04-13T01:41:30Z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1CE5AA9EA9764540B4BDAFC93D75715B</vt:lpwstr>
  </property>
</Properties>
</file>