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4F" w:rsidRPr="00100452" w:rsidRDefault="00F55A4F" w:rsidP="00100452">
      <w:pPr>
        <w:widowControl/>
        <w:spacing w:before="150" w:after="150" w:line="360" w:lineRule="auto"/>
        <w:jc w:val="center"/>
        <w:outlineLvl w:val="0"/>
        <w:rPr>
          <w:rFonts w:ascii="微软雅黑" w:eastAsia="微软雅黑" w:hAnsi="微软雅黑" w:cs="宋体"/>
          <w:b/>
          <w:bCs/>
          <w:color w:val="4C4C4C"/>
          <w:kern w:val="36"/>
          <w:sz w:val="36"/>
          <w:szCs w:val="36"/>
        </w:rPr>
      </w:pPr>
      <w:proofErr w:type="gramStart"/>
      <w:r w:rsidRPr="00100452">
        <w:rPr>
          <w:rFonts w:ascii="微软雅黑" w:eastAsia="微软雅黑" w:hAnsi="微软雅黑" w:cs="宋体" w:hint="eastAsia"/>
          <w:b/>
          <w:bCs/>
          <w:color w:val="4C4C4C"/>
          <w:kern w:val="36"/>
          <w:sz w:val="36"/>
          <w:szCs w:val="36"/>
        </w:rPr>
        <w:t>国家发改委</w:t>
      </w:r>
      <w:proofErr w:type="gramEnd"/>
      <w:r w:rsidRPr="00100452">
        <w:rPr>
          <w:rFonts w:ascii="微软雅黑" w:eastAsia="微软雅黑" w:hAnsi="微软雅黑" w:cs="宋体" w:hint="eastAsia"/>
          <w:b/>
          <w:bCs/>
          <w:color w:val="4C4C4C"/>
          <w:kern w:val="36"/>
          <w:sz w:val="36"/>
          <w:szCs w:val="36"/>
        </w:rPr>
        <w:t>、能源局</w:t>
      </w:r>
      <w:bookmarkStart w:id="0" w:name="_GoBack"/>
      <w:bookmarkEnd w:id="0"/>
      <w:r w:rsidRPr="00100452">
        <w:rPr>
          <w:rFonts w:ascii="微软雅黑" w:eastAsia="微软雅黑" w:hAnsi="微软雅黑" w:cs="宋体" w:hint="eastAsia"/>
          <w:b/>
          <w:bCs/>
          <w:color w:val="4C4C4C"/>
          <w:kern w:val="36"/>
          <w:sz w:val="36"/>
          <w:szCs w:val="36"/>
        </w:rPr>
        <w:t>关于做好风电、 光伏发电</w:t>
      </w:r>
      <w:proofErr w:type="gramStart"/>
      <w:r w:rsidRPr="00100452">
        <w:rPr>
          <w:rFonts w:ascii="微软雅黑" w:eastAsia="微软雅黑" w:hAnsi="微软雅黑" w:cs="宋体" w:hint="eastAsia"/>
          <w:b/>
          <w:bCs/>
          <w:color w:val="4C4C4C"/>
          <w:kern w:val="36"/>
          <w:sz w:val="36"/>
          <w:szCs w:val="36"/>
        </w:rPr>
        <w:t>全额保障</w:t>
      </w:r>
      <w:proofErr w:type="gramEnd"/>
      <w:r w:rsidRPr="00100452">
        <w:rPr>
          <w:rFonts w:ascii="微软雅黑" w:eastAsia="微软雅黑" w:hAnsi="微软雅黑" w:cs="宋体" w:hint="eastAsia"/>
          <w:b/>
          <w:bCs/>
          <w:color w:val="4C4C4C"/>
          <w:kern w:val="36"/>
          <w:sz w:val="36"/>
          <w:szCs w:val="36"/>
        </w:rPr>
        <w:t>性收购管理工作的通知</w:t>
      </w:r>
    </w:p>
    <w:p w:rsidR="00F55A4F" w:rsidRPr="00100452" w:rsidRDefault="00F55A4F" w:rsidP="00100452">
      <w:pPr>
        <w:widowControl/>
        <w:spacing w:line="360" w:lineRule="auto"/>
        <w:jc w:val="center"/>
        <w:rPr>
          <w:rFonts w:ascii="微软雅黑" w:eastAsia="微软雅黑" w:hAnsi="微软雅黑" w:cs="宋体"/>
          <w:color w:val="4C4C4C"/>
          <w:kern w:val="0"/>
          <w:sz w:val="24"/>
          <w:szCs w:val="24"/>
        </w:rPr>
      </w:pPr>
      <w:proofErr w:type="gramStart"/>
      <w:r w:rsidRPr="00100452">
        <w:rPr>
          <w:rFonts w:ascii="微软雅黑" w:eastAsia="微软雅黑" w:hAnsi="微软雅黑" w:cs="宋体" w:hint="eastAsia"/>
          <w:color w:val="4C4C4C"/>
          <w:kern w:val="0"/>
          <w:sz w:val="24"/>
          <w:szCs w:val="24"/>
        </w:rPr>
        <w:t>发改能源</w:t>
      </w:r>
      <w:proofErr w:type="gramEnd"/>
      <w:r w:rsidRPr="00100452">
        <w:rPr>
          <w:rFonts w:ascii="微软雅黑" w:eastAsia="微软雅黑" w:hAnsi="微软雅黑" w:cs="宋体" w:hint="eastAsia"/>
          <w:color w:val="4C4C4C"/>
          <w:kern w:val="0"/>
          <w:sz w:val="24"/>
          <w:szCs w:val="24"/>
        </w:rPr>
        <w:t>[2016]1150号</w:t>
      </w:r>
    </w:p>
    <w:p w:rsidR="00100452" w:rsidRDefault="00100452" w:rsidP="00100452">
      <w:pPr>
        <w:pStyle w:val="a4"/>
        <w:shd w:val="clear" w:color="auto" w:fill="EDEDED"/>
        <w:spacing w:before="0" w:beforeAutospacing="0" w:after="0" w:afterAutospacing="0" w:line="360" w:lineRule="auto"/>
        <w:rPr>
          <w:color w:val="333333"/>
        </w:rPr>
      </w:pPr>
      <w:r>
        <w:rPr>
          <w:rFonts w:hint="eastAsia"/>
          <w:color w:val="333333"/>
        </w:rPr>
        <w:t>各省（自治区、直辖市）、新疆生产建设兵团发展改革委（能源局）、经信委（工信委、工信厅），国家能源局各派出机构，国家电网公司、南方电网公司、内蒙古电力（集团）有限责任公司，华能、大唐、华电、国电、国电投、神华、三峡、华润、中核、中广核、中国节能集团公司：</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为做好可再生能源发电</w:t>
      </w:r>
      <w:proofErr w:type="gramStart"/>
      <w:r>
        <w:rPr>
          <w:rFonts w:hint="eastAsia"/>
          <w:color w:val="333333"/>
        </w:rPr>
        <w:t>全额保障</w:t>
      </w:r>
      <w:proofErr w:type="gramEnd"/>
      <w:r>
        <w:rPr>
          <w:rFonts w:hint="eastAsia"/>
          <w:color w:val="333333"/>
        </w:rPr>
        <w:t>性收购工作，保障风电、光伏发电的持续健康发展，现将有关事项通知如下：</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一、根据《可再生能源发电全额保障性收购管理办法》（</w:t>
      </w:r>
      <w:proofErr w:type="gramStart"/>
      <w:r>
        <w:rPr>
          <w:rFonts w:hint="eastAsia"/>
          <w:color w:val="333333"/>
        </w:rPr>
        <w:t>发改能源</w:t>
      </w:r>
      <w:proofErr w:type="gramEnd"/>
      <w:r>
        <w:rPr>
          <w:rFonts w:hint="eastAsia"/>
          <w:color w:val="333333"/>
        </w:rPr>
        <w:t>〔2016〕625号），综合考虑电力系统消纳能力，按照各类标杆电价覆盖区域，参考准许成本加合理收益，现核定了部分存在弃风、</w:t>
      </w:r>
      <w:proofErr w:type="gramStart"/>
      <w:r>
        <w:rPr>
          <w:rFonts w:hint="eastAsia"/>
          <w:color w:val="333333"/>
        </w:rPr>
        <w:t>弃光问题</w:t>
      </w:r>
      <w:proofErr w:type="gramEnd"/>
      <w:r>
        <w:rPr>
          <w:rFonts w:hint="eastAsia"/>
          <w:color w:val="333333"/>
        </w:rPr>
        <w:t>地区规划内的风电、光伏发电最低保障收购年利用小时数（详见附表）。最低保障收购年利用小时数将根据新能源并网运行、成本变化等情况适时调整。</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二、各有关省（区、市）能源主管部门和经济运行主管部门要严格落实规划内的风电、光伏发电保障性收购电量，认真落实《国家能源局关于做好“三北”地区可再生能源消纳工作的通知》以及优先发电、优先购电相关制度的有关要求，按照附表核定最低保障收购年利用小时数并安排发电计划，确保最低保障收购年利用小时数以内的电量以最高优先等级优先发电。已安排2016年度发电计划的省（区、市）须按照附表核定最低保障收购年利用小时数对发电计划及时进行调整。</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各省（区、市）主管部门和电网调度机构应严格落实《关于有序放开发用电计划的实施意见》中关于优先发电顺序的要求，严禁对保障范围内的电量采取由可再生能源发电项目向煤电等其他电源支付费用的方式来获取发电权，妥善处理好可再生能源保障性收购、调峰机组优先发电和辅助服务市场之间的关系，并与电力交易方案做好衔接。</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三、保障性收购电量应由电网企业按标杆上网电价和最低保障收购年利用小时数全额结算，超出最低保障收购年利用小时数的部分应通过市场交易方式消纳，</w:t>
      </w:r>
      <w:r>
        <w:rPr>
          <w:rFonts w:hint="eastAsia"/>
          <w:color w:val="333333"/>
        </w:rPr>
        <w:lastRenderedPageBreak/>
        <w:t>由风电、光伏发电企业与售电企业或电力用户通过市场化的方式进行交易，并按新能源标杆上网电价与当地煤电标杆上网电价（含脱硫、脱硝、除尘）的差额享受可再生能源补贴。</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地方政府能源主管部门或经济运行主管部门应积极组织风电、光伏发电企业与售电企业或电力用户开展对接，确保最低保障收购年利用小时数以外的电量能够以市场化的方式全额消纳。</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四、保障性收购电量为最低保障目标，鼓励各相关省（区、市）提出并落实更高的保障目标。目前实际运行小时数低于最低保障收购年利用小时数的省（区、市）应根据实际情况，制定具体工作方案，采取有效措施尽快确保在运行的风电、光伏电站达到最低保障收购年利用小时数要求。具体工作方案应向全社会公布并抄送国家发展改革委和国家能源局。</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w:t>
      </w:r>
      <w:proofErr w:type="gramStart"/>
      <w:r>
        <w:rPr>
          <w:rFonts w:hint="eastAsia"/>
          <w:color w:val="333333"/>
        </w:rPr>
        <w:t>除资源</w:t>
      </w:r>
      <w:proofErr w:type="gramEnd"/>
      <w:r>
        <w:rPr>
          <w:rFonts w:hint="eastAsia"/>
          <w:color w:val="333333"/>
        </w:rPr>
        <w:t>条件影响外，未达到最低保障收购年利用小时</w:t>
      </w:r>
      <w:proofErr w:type="gramStart"/>
      <w:r>
        <w:rPr>
          <w:rFonts w:hint="eastAsia"/>
          <w:color w:val="333333"/>
        </w:rPr>
        <w:t>数要求</w:t>
      </w:r>
      <w:proofErr w:type="gramEnd"/>
      <w:r>
        <w:rPr>
          <w:rFonts w:hint="eastAsia"/>
          <w:color w:val="333333"/>
        </w:rPr>
        <w:t>的省（区、市），不得再新开工建设风电、光伏电站项目（含已纳入规划或完成核准的项目）。</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未制定保障性收购要求的地区应根据资源条件按标杆上网电价全额收购风电、光伏发电项目发电量。未经</w:t>
      </w:r>
      <w:proofErr w:type="gramStart"/>
      <w:r>
        <w:rPr>
          <w:rFonts w:hint="eastAsia"/>
          <w:color w:val="333333"/>
        </w:rPr>
        <w:t>国家发改委</w:t>
      </w:r>
      <w:proofErr w:type="gramEnd"/>
      <w:r>
        <w:rPr>
          <w:rFonts w:hint="eastAsia"/>
          <w:color w:val="333333"/>
        </w:rPr>
        <w:t>、国家能源局同意，不得随意设定最低保障收购年利用小时数。</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五、各省（区、市）有关部门在制定发电计划和电量交易方案时，要充分预留风电和光伏发电保障性收购电量空间，不允许在</w:t>
      </w:r>
      <w:proofErr w:type="gramStart"/>
      <w:r>
        <w:rPr>
          <w:rFonts w:hint="eastAsia"/>
          <w:color w:val="333333"/>
        </w:rPr>
        <w:t>月度保障</w:t>
      </w:r>
      <w:proofErr w:type="gramEnd"/>
      <w:r>
        <w:rPr>
          <w:rFonts w:hint="eastAsia"/>
          <w:color w:val="333333"/>
        </w:rPr>
        <w:t>性收购电量未完成的情况下结算市场交易部分电量，已经制定的市场交易机制需落实保障</w:t>
      </w:r>
      <w:proofErr w:type="gramStart"/>
      <w:r>
        <w:rPr>
          <w:rFonts w:hint="eastAsia"/>
          <w:color w:val="333333"/>
        </w:rPr>
        <w:t>月度保障</w:t>
      </w:r>
      <w:proofErr w:type="gramEnd"/>
      <w:r>
        <w:rPr>
          <w:rFonts w:hint="eastAsia"/>
          <w:color w:val="333333"/>
        </w:rPr>
        <w:t>性电量的要求。</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电网企业（电力交易机构）应</w:t>
      </w:r>
      <w:proofErr w:type="gramStart"/>
      <w:r>
        <w:rPr>
          <w:rFonts w:hint="eastAsia"/>
          <w:color w:val="333333"/>
        </w:rPr>
        <w:t>将各风电</w:t>
      </w:r>
      <w:proofErr w:type="gramEnd"/>
      <w:r>
        <w:rPr>
          <w:rFonts w:hint="eastAsia"/>
          <w:color w:val="333333"/>
        </w:rPr>
        <w:t>、光伏发电项目的全年保障性收购电量根据历史和功率预测情况分解到各月，并优先结算当月的可再生能源保障性收购电量，</w:t>
      </w:r>
      <w:proofErr w:type="gramStart"/>
      <w:r>
        <w:rPr>
          <w:rFonts w:hint="eastAsia"/>
          <w:color w:val="333333"/>
        </w:rPr>
        <w:t>月度保障</w:t>
      </w:r>
      <w:proofErr w:type="gramEnd"/>
      <w:r>
        <w:rPr>
          <w:rFonts w:hint="eastAsia"/>
          <w:color w:val="333333"/>
        </w:rPr>
        <w:t>性收购电量结算完成后再结算市场交易部分电量，年终统一清算。</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六、风电、光伏发电企业要协助各省级电网企业或地方电网企业及电力交易机构按国家有关规定对限发电量按月进行统计。对于保障性收购电量范围内的限发电量要予以补偿，电网企业协助电力交易机构根据《可再生能源发电全额保障性收购管理办法》（</w:t>
      </w:r>
      <w:proofErr w:type="gramStart"/>
      <w:r>
        <w:rPr>
          <w:rFonts w:hint="eastAsia"/>
          <w:color w:val="333333"/>
        </w:rPr>
        <w:t>发改能源</w:t>
      </w:r>
      <w:proofErr w:type="gramEnd"/>
      <w:r>
        <w:rPr>
          <w:rFonts w:hint="eastAsia"/>
          <w:color w:val="333333"/>
        </w:rPr>
        <w:t>〔2016〕625号）的要求，按照风电、光伏发电项目所在地的标杆上网电价和限发电量明确补偿金额，同时要确定补偿分摊的机组，</w:t>
      </w:r>
      <w:r>
        <w:rPr>
          <w:rFonts w:hint="eastAsia"/>
          <w:color w:val="333333"/>
        </w:rPr>
        <w:lastRenderedPageBreak/>
        <w:t>相关报表和报告按月报送国家能源局派出机构和省级经济运行主管部门备案并公示。电网企业应保留限电时段相关运行数据，以备监管机构检查。</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各电网企业于2016年6月30日前与按照可再生能源开发利用规划建设、依法取得行政许可或者报送备案、符合并网技术标准的风电、光伏发电企业签订2016年度优先发电合同，并于每年年底前签订下一年度的优先发电合同。</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七、国务院能源主管部门派出机构会同省级能源主管部门和经济运行主管部门要加强对可再生能源发电</w:t>
      </w:r>
      <w:proofErr w:type="gramStart"/>
      <w:r>
        <w:rPr>
          <w:rFonts w:hint="eastAsia"/>
          <w:color w:val="333333"/>
        </w:rPr>
        <w:t>全额保障</w:t>
      </w:r>
      <w:proofErr w:type="gramEnd"/>
      <w:r>
        <w:rPr>
          <w:rFonts w:hint="eastAsia"/>
          <w:color w:val="333333"/>
        </w:rPr>
        <w:t>性收购执行情况的监管和考核工作，定期对电网企业与风电、光伏发电项目企业签订优先发电合同和执行可再生能源发电</w:t>
      </w:r>
      <w:proofErr w:type="gramStart"/>
      <w:r>
        <w:rPr>
          <w:rFonts w:hint="eastAsia"/>
          <w:color w:val="333333"/>
        </w:rPr>
        <w:t>全额保障</w:t>
      </w:r>
      <w:proofErr w:type="gramEnd"/>
      <w:r>
        <w:rPr>
          <w:rFonts w:hint="eastAsia"/>
          <w:color w:val="333333"/>
        </w:rPr>
        <w:t>性收购情况进行专项监管，对违反《可再生能源发电全额保障性收购管理办法》（</w:t>
      </w:r>
      <w:proofErr w:type="gramStart"/>
      <w:r>
        <w:rPr>
          <w:rFonts w:hint="eastAsia"/>
          <w:color w:val="333333"/>
        </w:rPr>
        <w:t>发改能源</w:t>
      </w:r>
      <w:proofErr w:type="gramEnd"/>
      <w:r>
        <w:rPr>
          <w:rFonts w:hint="eastAsia"/>
          <w:color w:val="333333"/>
        </w:rPr>
        <w:t>〔2016〕625号）和本通知要求的要按规定采取监管措施，相关情况及时报国家发展改革委和国家能源局。</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落实可再生能源发电</w:t>
      </w:r>
      <w:proofErr w:type="gramStart"/>
      <w:r>
        <w:rPr>
          <w:rFonts w:hint="eastAsia"/>
          <w:color w:val="333333"/>
        </w:rPr>
        <w:t>全额保障</w:t>
      </w:r>
      <w:proofErr w:type="gramEnd"/>
      <w:r>
        <w:rPr>
          <w:rFonts w:hint="eastAsia"/>
          <w:color w:val="333333"/>
        </w:rPr>
        <w:t>性收购制度是电力体制改革工作的一项重要任务，也是解决弃风、</w:t>
      </w:r>
      <w:proofErr w:type="gramStart"/>
      <w:r>
        <w:rPr>
          <w:rFonts w:hint="eastAsia"/>
          <w:color w:val="333333"/>
        </w:rPr>
        <w:t>弃光限电</w:t>
      </w:r>
      <w:proofErr w:type="gramEnd"/>
      <w:r>
        <w:rPr>
          <w:rFonts w:hint="eastAsia"/>
          <w:color w:val="333333"/>
        </w:rPr>
        <w:t>问题和促进可再生能源持续健康发展的重要措施。各部门要按照上述要求认真做好可再生能源发电</w:t>
      </w:r>
      <w:proofErr w:type="gramStart"/>
      <w:r>
        <w:rPr>
          <w:rFonts w:hint="eastAsia"/>
          <w:color w:val="333333"/>
        </w:rPr>
        <w:t>全额保障</w:t>
      </w:r>
      <w:proofErr w:type="gramEnd"/>
      <w:r>
        <w:rPr>
          <w:rFonts w:hint="eastAsia"/>
          <w:color w:val="333333"/>
        </w:rPr>
        <w:t>性收购工作，确保弃风、</w:t>
      </w:r>
      <w:proofErr w:type="gramStart"/>
      <w:r>
        <w:rPr>
          <w:rFonts w:hint="eastAsia"/>
          <w:color w:val="333333"/>
        </w:rPr>
        <w:t>弃光问题</w:t>
      </w:r>
      <w:proofErr w:type="gramEnd"/>
      <w:r>
        <w:rPr>
          <w:rFonts w:hint="eastAsia"/>
          <w:color w:val="333333"/>
        </w:rPr>
        <w:t>得到有效缓解。</w:t>
      </w:r>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xml:space="preserve">　　附件：</w:t>
      </w:r>
      <w:hyperlink r:id="rId7" w:tgtFrame="_blank" w:history="1">
        <w:r>
          <w:rPr>
            <w:rStyle w:val="a3"/>
            <w:rFonts w:hint="eastAsia"/>
          </w:rPr>
          <w:t>1.风</w:t>
        </w:r>
        <w:proofErr w:type="gramStart"/>
        <w:r>
          <w:rPr>
            <w:rStyle w:val="a3"/>
            <w:rFonts w:hint="eastAsia"/>
          </w:rPr>
          <w:t>电重点</w:t>
        </w:r>
        <w:proofErr w:type="gramEnd"/>
        <w:r>
          <w:rPr>
            <w:rStyle w:val="a3"/>
            <w:rFonts w:hint="eastAsia"/>
          </w:rPr>
          <w:t>地区最低保障收购年利用小时数核定表</w:t>
        </w:r>
      </w:hyperlink>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0000FF"/>
        </w:rPr>
        <w:t xml:space="preserve">　　　　　</w:t>
      </w:r>
      <w:hyperlink r:id="rId8" w:tgtFrame="_blank" w:history="1">
        <w:r>
          <w:rPr>
            <w:rStyle w:val="a3"/>
            <w:rFonts w:hint="eastAsia"/>
          </w:rPr>
          <w:t>2.光伏发电重点地区最低保障收购年利用小时数核定表</w:t>
        </w:r>
      </w:hyperlink>
    </w:p>
    <w:p w:rsidR="00100452" w:rsidRDefault="00100452" w:rsidP="00100452">
      <w:pPr>
        <w:pStyle w:val="a4"/>
        <w:shd w:val="clear" w:color="auto" w:fill="EDEDED"/>
        <w:spacing w:before="0" w:beforeAutospacing="0" w:after="0" w:afterAutospacing="0" w:line="360" w:lineRule="auto"/>
        <w:rPr>
          <w:rFonts w:hint="eastAsia"/>
          <w:color w:val="333333"/>
        </w:rPr>
      </w:pPr>
      <w:r>
        <w:rPr>
          <w:rFonts w:hint="eastAsia"/>
          <w:color w:val="333333"/>
        </w:rPr>
        <w:t> </w:t>
      </w:r>
    </w:p>
    <w:p w:rsidR="00100452" w:rsidRDefault="00100452" w:rsidP="00100452">
      <w:pPr>
        <w:pStyle w:val="a4"/>
        <w:shd w:val="clear" w:color="auto" w:fill="EDEDED"/>
        <w:spacing w:before="0" w:beforeAutospacing="0" w:after="0" w:afterAutospacing="0" w:line="360" w:lineRule="auto"/>
        <w:jc w:val="center"/>
        <w:rPr>
          <w:rFonts w:hint="eastAsia"/>
          <w:color w:val="333333"/>
        </w:rPr>
      </w:pPr>
      <w:r>
        <w:rPr>
          <w:rFonts w:hint="eastAsia"/>
          <w:color w:val="333333"/>
        </w:rPr>
        <w:t>国家发展改革委</w:t>
      </w:r>
    </w:p>
    <w:p w:rsidR="00100452" w:rsidRDefault="00100452" w:rsidP="00100452">
      <w:pPr>
        <w:pStyle w:val="a4"/>
        <w:shd w:val="clear" w:color="auto" w:fill="EDEDED"/>
        <w:spacing w:before="0" w:beforeAutospacing="0" w:after="0" w:afterAutospacing="0" w:line="360" w:lineRule="auto"/>
        <w:jc w:val="center"/>
        <w:rPr>
          <w:rFonts w:hint="eastAsia"/>
          <w:color w:val="333333"/>
        </w:rPr>
      </w:pPr>
      <w:r>
        <w:rPr>
          <w:rFonts w:hint="eastAsia"/>
          <w:color w:val="333333"/>
        </w:rPr>
        <w:t>国家能源局</w:t>
      </w:r>
    </w:p>
    <w:p w:rsidR="00100452" w:rsidRDefault="00100452" w:rsidP="00100452">
      <w:pPr>
        <w:pStyle w:val="a4"/>
        <w:shd w:val="clear" w:color="auto" w:fill="EDEDED"/>
        <w:spacing w:before="0" w:beforeAutospacing="0" w:after="0" w:afterAutospacing="0" w:line="360" w:lineRule="auto"/>
        <w:jc w:val="center"/>
        <w:rPr>
          <w:rFonts w:hint="eastAsia"/>
          <w:color w:val="333333"/>
        </w:rPr>
      </w:pPr>
      <w:r>
        <w:rPr>
          <w:rFonts w:hint="eastAsia"/>
          <w:color w:val="333333"/>
        </w:rPr>
        <w:t>2016年5月27日</w:t>
      </w:r>
    </w:p>
    <w:p w:rsidR="00F55A4F" w:rsidRPr="00100452" w:rsidRDefault="00F55A4F" w:rsidP="00100452">
      <w:pPr>
        <w:widowControl/>
        <w:spacing w:line="360" w:lineRule="auto"/>
        <w:jc w:val="right"/>
        <w:rPr>
          <w:rFonts w:ascii="微软雅黑" w:eastAsia="微软雅黑" w:hAnsi="微软雅黑" w:cs="宋体"/>
          <w:color w:val="4C4C4C"/>
          <w:kern w:val="0"/>
          <w:sz w:val="24"/>
          <w:szCs w:val="24"/>
        </w:rPr>
      </w:pPr>
    </w:p>
    <w:p w:rsidR="00F55A4F" w:rsidRPr="00100452" w:rsidRDefault="00F55A4F" w:rsidP="00100452">
      <w:pPr>
        <w:widowControl/>
        <w:spacing w:line="360" w:lineRule="auto"/>
        <w:jc w:val="center"/>
        <w:rPr>
          <w:rFonts w:ascii="微软雅黑" w:eastAsia="微软雅黑" w:hAnsi="微软雅黑" w:cs="宋体"/>
          <w:color w:val="4C4C4C"/>
          <w:kern w:val="0"/>
          <w:sz w:val="24"/>
          <w:szCs w:val="24"/>
        </w:rPr>
      </w:pPr>
      <w:r w:rsidRPr="00100452">
        <w:rPr>
          <w:rFonts w:ascii="微软雅黑" w:eastAsia="微软雅黑" w:hAnsi="微软雅黑" w:cs="宋体"/>
          <w:noProof/>
          <w:color w:val="4C4C4C"/>
          <w:kern w:val="0"/>
          <w:sz w:val="24"/>
          <w:szCs w:val="24"/>
        </w:rPr>
        <w:lastRenderedPageBreak/>
        <w:drawing>
          <wp:inline distT="0" distB="0" distL="0" distR="0" wp14:anchorId="49C92D2A" wp14:editId="45D68B6F">
            <wp:extent cx="4364990" cy="5391150"/>
            <wp:effectExtent l="0" t="0" r="0" b="0"/>
            <wp:docPr id="2" name="图片 2" descr="QQ截图2016053118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5311828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5391150"/>
                    </a:xfrm>
                    <a:prstGeom prst="rect">
                      <a:avLst/>
                    </a:prstGeom>
                    <a:noFill/>
                    <a:ln>
                      <a:noFill/>
                    </a:ln>
                  </pic:spPr>
                </pic:pic>
              </a:graphicData>
            </a:graphic>
          </wp:inline>
        </w:drawing>
      </w:r>
      <w:r w:rsidRPr="00100452">
        <w:rPr>
          <w:rFonts w:ascii="微软雅黑" w:eastAsia="微软雅黑" w:hAnsi="微软雅黑" w:cs="宋体" w:hint="eastAsia"/>
          <w:color w:val="4C4C4C"/>
          <w:kern w:val="0"/>
          <w:sz w:val="24"/>
          <w:szCs w:val="24"/>
        </w:rPr>
        <w:t> </w:t>
      </w:r>
      <w:r w:rsidRPr="00100452">
        <w:rPr>
          <w:rFonts w:ascii="微软雅黑" w:eastAsia="微软雅黑" w:hAnsi="微软雅黑" w:cs="宋体" w:hint="eastAsia"/>
          <w:color w:val="4C4C4C"/>
          <w:kern w:val="0"/>
          <w:sz w:val="24"/>
          <w:szCs w:val="24"/>
        </w:rPr>
        <w:br/>
      </w:r>
      <w:r w:rsidRPr="00100452">
        <w:rPr>
          <w:rFonts w:ascii="微软雅黑" w:eastAsia="微软雅黑" w:hAnsi="微软雅黑" w:cs="宋体"/>
          <w:noProof/>
          <w:color w:val="4C4C4C"/>
          <w:kern w:val="0"/>
          <w:sz w:val="24"/>
          <w:szCs w:val="24"/>
        </w:rPr>
        <w:lastRenderedPageBreak/>
        <w:drawing>
          <wp:inline distT="0" distB="0" distL="0" distR="0" wp14:anchorId="52AFFFBC" wp14:editId="44F2A40A">
            <wp:extent cx="4492625" cy="5407025"/>
            <wp:effectExtent l="0" t="0" r="3175" b="3175"/>
            <wp:docPr id="1" name="图片 1" descr="QQ截图2016053118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5311829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2625" cy="5407025"/>
                    </a:xfrm>
                    <a:prstGeom prst="rect">
                      <a:avLst/>
                    </a:prstGeom>
                    <a:noFill/>
                    <a:ln>
                      <a:noFill/>
                    </a:ln>
                  </pic:spPr>
                </pic:pic>
              </a:graphicData>
            </a:graphic>
          </wp:inline>
        </w:drawing>
      </w:r>
    </w:p>
    <w:p w:rsidR="004F70F1" w:rsidRDefault="004F70F1"/>
    <w:sectPr w:rsidR="004F7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30" w:rsidRDefault="00F52D30" w:rsidP="00100452">
      <w:r>
        <w:separator/>
      </w:r>
    </w:p>
  </w:endnote>
  <w:endnote w:type="continuationSeparator" w:id="0">
    <w:p w:rsidR="00F52D30" w:rsidRDefault="00F52D30" w:rsidP="0010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30" w:rsidRDefault="00F52D30" w:rsidP="00100452">
      <w:r>
        <w:separator/>
      </w:r>
    </w:p>
  </w:footnote>
  <w:footnote w:type="continuationSeparator" w:id="0">
    <w:p w:rsidR="00F52D30" w:rsidRDefault="00F52D30" w:rsidP="0010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B9"/>
    <w:rsid w:val="000851B9"/>
    <w:rsid w:val="00100452"/>
    <w:rsid w:val="004F70F1"/>
    <w:rsid w:val="005620AF"/>
    <w:rsid w:val="00F52D30"/>
    <w:rsid w:val="00F5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55A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5A4F"/>
    <w:rPr>
      <w:rFonts w:ascii="宋体" w:eastAsia="宋体" w:hAnsi="宋体" w:cs="宋体"/>
      <w:b/>
      <w:bCs/>
      <w:kern w:val="36"/>
      <w:sz w:val="48"/>
      <w:szCs w:val="48"/>
    </w:rPr>
  </w:style>
  <w:style w:type="character" w:customStyle="1" w:styleId="apple-converted-space">
    <w:name w:val="apple-converted-space"/>
    <w:basedOn w:val="a0"/>
    <w:rsid w:val="00F55A4F"/>
  </w:style>
  <w:style w:type="character" w:customStyle="1" w:styleId="share2">
    <w:name w:val="share2"/>
    <w:basedOn w:val="a0"/>
    <w:rsid w:val="00F55A4F"/>
  </w:style>
  <w:style w:type="character" w:styleId="a3">
    <w:name w:val="Hyperlink"/>
    <w:basedOn w:val="a0"/>
    <w:uiPriority w:val="99"/>
    <w:semiHidden/>
    <w:unhideWhenUsed/>
    <w:rsid w:val="00F55A4F"/>
    <w:rPr>
      <w:color w:val="0000FF"/>
      <w:u w:val="single"/>
    </w:rPr>
  </w:style>
  <w:style w:type="paragraph" w:styleId="a4">
    <w:name w:val="Normal (Web)"/>
    <w:basedOn w:val="a"/>
    <w:uiPriority w:val="99"/>
    <w:semiHidden/>
    <w:unhideWhenUsed/>
    <w:rsid w:val="00F55A4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5A4F"/>
    <w:rPr>
      <w:b/>
      <w:bCs/>
    </w:rPr>
  </w:style>
  <w:style w:type="paragraph" w:styleId="a6">
    <w:name w:val="Balloon Text"/>
    <w:basedOn w:val="a"/>
    <w:link w:val="Char"/>
    <w:uiPriority w:val="99"/>
    <w:semiHidden/>
    <w:unhideWhenUsed/>
    <w:rsid w:val="00F55A4F"/>
    <w:rPr>
      <w:sz w:val="18"/>
      <w:szCs w:val="18"/>
    </w:rPr>
  </w:style>
  <w:style w:type="character" w:customStyle="1" w:styleId="Char">
    <w:name w:val="批注框文本 Char"/>
    <w:basedOn w:val="a0"/>
    <w:link w:val="a6"/>
    <w:uiPriority w:val="99"/>
    <w:semiHidden/>
    <w:rsid w:val="00F55A4F"/>
    <w:rPr>
      <w:sz w:val="18"/>
      <w:szCs w:val="18"/>
    </w:rPr>
  </w:style>
  <w:style w:type="paragraph" w:styleId="a7">
    <w:name w:val="header"/>
    <w:basedOn w:val="a"/>
    <w:link w:val="Char0"/>
    <w:uiPriority w:val="99"/>
    <w:unhideWhenUsed/>
    <w:rsid w:val="001004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00452"/>
    <w:rPr>
      <w:sz w:val="18"/>
      <w:szCs w:val="18"/>
    </w:rPr>
  </w:style>
  <w:style w:type="paragraph" w:styleId="a8">
    <w:name w:val="footer"/>
    <w:basedOn w:val="a"/>
    <w:link w:val="Char1"/>
    <w:uiPriority w:val="99"/>
    <w:unhideWhenUsed/>
    <w:rsid w:val="00100452"/>
    <w:pPr>
      <w:tabs>
        <w:tab w:val="center" w:pos="4153"/>
        <w:tab w:val="right" w:pos="8306"/>
      </w:tabs>
      <w:snapToGrid w:val="0"/>
      <w:jc w:val="left"/>
    </w:pPr>
    <w:rPr>
      <w:sz w:val="18"/>
      <w:szCs w:val="18"/>
    </w:rPr>
  </w:style>
  <w:style w:type="character" w:customStyle="1" w:styleId="Char1">
    <w:name w:val="页脚 Char"/>
    <w:basedOn w:val="a0"/>
    <w:link w:val="a8"/>
    <w:uiPriority w:val="99"/>
    <w:rsid w:val="001004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55A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5A4F"/>
    <w:rPr>
      <w:rFonts w:ascii="宋体" w:eastAsia="宋体" w:hAnsi="宋体" w:cs="宋体"/>
      <w:b/>
      <w:bCs/>
      <w:kern w:val="36"/>
      <w:sz w:val="48"/>
      <w:szCs w:val="48"/>
    </w:rPr>
  </w:style>
  <w:style w:type="character" w:customStyle="1" w:styleId="apple-converted-space">
    <w:name w:val="apple-converted-space"/>
    <w:basedOn w:val="a0"/>
    <w:rsid w:val="00F55A4F"/>
  </w:style>
  <w:style w:type="character" w:customStyle="1" w:styleId="share2">
    <w:name w:val="share2"/>
    <w:basedOn w:val="a0"/>
    <w:rsid w:val="00F55A4F"/>
  </w:style>
  <w:style w:type="character" w:styleId="a3">
    <w:name w:val="Hyperlink"/>
    <w:basedOn w:val="a0"/>
    <w:uiPriority w:val="99"/>
    <w:semiHidden/>
    <w:unhideWhenUsed/>
    <w:rsid w:val="00F55A4F"/>
    <w:rPr>
      <w:color w:val="0000FF"/>
      <w:u w:val="single"/>
    </w:rPr>
  </w:style>
  <w:style w:type="paragraph" w:styleId="a4">
    <w:name w:val="Normal (Web)"/>
    <w:basedOn w:val="a"/>
    <w:uiPriority w:val="99"/>
    <w:semiHidden/>
    <w:unhideWhenUsed/>
    <w:rsid w:val="00F55A4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5A4F"/>
    <w:rPr>
      <w:b/>
      <w:bCs/>
    </w:rPr>
  </w:style>
  <w:style w:type="paragraph" w:styleId="a6">
    <w:name w:val="Balloon Text"/>
    <w:basedOn w:val="a"/>
    <w:link w:val="Char"/>
    <w:uiPriority w:val="99"/>
    <w:semiHidden/>
    <w:unhideWhenUsed/>
    <w:rsid w:val="00F55A4F"/>
    <w:rPr>
      <w:sz w:val="18"/>
      <w:szCs w:val="18"/>
    </w:rPr>
  </w:style>
  <w:style w:type="character" w:customStyle="1" w:styleId="Char">
    <w:name w:val="批注框文本 Char"/>
    <w:basedOn w:val="a0"/>
    <w:link w:val="a6"/>
    <w:uiPriority w:val="99"/>
    <w:semiHidden/>
    <w:rsid w:val="00F55A4F"/>
    <w:rPr>
      <w:sz w:val="18"/>
      <w:szCs w:val="18"/>
    </w:rPr>
  </w:style>
  <w:style w:type="paragraph" w:styleId="a7">
    <w:name w:val="header"/>
    <w:basedOn w:val="a"/>
    <w:link w:val="Char0"/>
    <w:uiPriority w:val="99"/>
    <w:unhideWhenUsed/>
    <w:rsid w:val="001004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00452"/>
    <w:rPr>
      <w:sz w:val="18"/>
      <w:szCs w:val="18"/>
    </w:rPr>
  </w:style>
  <w:style w:type="paragraph" w:styleId="a8">
    <w:name w:val="footer"/>
    <w:basedOn w:val="a"/>
    <w:link w:val="Char1"/>
    <w:uiPriority w:val="99"/>
    <w:unhideWhenUsed/>
    <w:rsid w:val="00100452"/>
    <w:pPr>
      <w:tabs>
        <w:tab w:val="center" w:pos="4153"/>
        <w:tab w:val="right" w:pos="8306"/>
      </w:tabs>
      <w:snapToGrid w:val="0"/>
      <w:jc w:val="left"/>
    </w:pPr>
    <w:rPr>
      <w:sz w:val="18"/>
      <w:szCs w:val="18"/>
    </w:rPr>
  </w:style>
  <w:style w:type="character" w:customStyle="1" w:styleId="Char1">
    <w:name w:val="页脚 Char"/>
    <w:basedOn w:val="a0"/>
    <w:link w:val="a8"/>
    <w:uiPriority w:val="99"/>
    <w:rsid w:val="00100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3213">
      <w:bodyDiv w:val="1"/>
      <w:marLeft w:val="0"/>
      <w:marRight w:val="0"/>
      <w:marTop w:val="0"/>
      <w:marBottom w:val="0"/>
      <w:divBdr>
        <w:top w:val="none" w:sz="0" w:space="0" w:color="auto"/>
        <w:left w:val="none" w:sz="0" w:space="0" w:color="auto"/>
        <w:bottom w:val="none" w:sz="0" w:space="0" w:color="auto"/>
        <w:right w:val="none" w:sz="0" w:space="0" w:color="auto"/>
      </w:divBdr>
      <w:divsChild>
        <w:div w:id="1058280961">
          <w:marLeft w:val="0"/>
          <w:marRight w:val="0"/>
          <w:marTop w:val="0"/>
          <w:marBottom w:val="150"/>
          <w:divBdr>
            <w:top w:val="single" w:sz="6" w:space="0" w:color="E6E6E6"/>
            <w:left w:val="single" w:sz="6" w:space="8" w:color="E6E6E6"/>
            <w:bottom w:val="single" w:sz="6" w:space="0" w:color="E6E6E6"/>
            <w:right w:val="single" w:sz="6" w:space="8" w:color="E6E6E6"/>
          </w:divBdr>
        </w:div>
      </w:divsChild>
    </w:div>
    <w:div w:id="1262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rc.gov.cn/zcfb/zcfbtz/201605/W020160531632745828619.pdf" TargetMode="External"/><Relationship Id="rId3" Type="http://schemas.openxmlformats.org/officeDocument/2006/relationships/settings" Target="settings.xml"/><Relationship Id="rId7" Type="http://schemas.openxmlformats.org/officeDocument/2006/relationships/hyperlink" Target="http://www.ndrc.gov.cn/zcfb/zcfbtz/201605/W020160531632745655295.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370</Words>
  <Characters>2113</Characters>
  <Application>Microsoft Office Word</Application>
  <DocSecurity>0</DocSecurity>
  <Lines>17</Lines>
  <Paragraphs>4</Paragraphs>
  <ScaleCrop>false</ScaleCrop>
  <Company>中国石化</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经秋霞</dc:creator>
  <cp:keywords/>
  <dc:description/>
  <cp:lastModifiedBy>xxxx</cp:lastModifiedBy>
  <cp:revision>4</cp:revision>
  <dcterms:created xsi:type="dcterms:W3CDTF">2016-06-24T03:07:00Z</dcterms:created>
  <dcterms:modified xsi:type="dcterms:W3CDTF">2019-04-02T05:04:00Z</dcterms:modified>
</cp:coreProperties>
</file>