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450" w:lineRule="atLeast"/>
        <w:jc w:val="both"/>
        <w:outlineLvl w:val="0"/>
        <w:rPr>
          <w:rFonts w:hint="eastAsia" w:ascii="微软雅黑" w:hAnsi="微软雅黑" w:eastAsia="微软雅黑" w:cs="宋体"/>
          <w:color w:val="03005C"/>
          <w:kern w:val="36"/>
          <w:sz w:val="33"/>
          <w:szCs w:val="33"/>
        </w:rPr>
      </w:pPr>
    </w:p>
    <w:p>
      <w:pPr>
        <w:widowControl/>
        <w:spacing w:before="150" w:after="150" w:line="450" w:lineRule="atLeast"/>
        <w:jc w:val="center"/>
        <w:outlineLvl w:val="0"/>
        <w:rPr>
          <w:rFonts w:hint="eastAsia" w:ascii="微软雅黑" w:hAnsi="微软雅黑" w:eastAsia="微软雅黑" w:cs="宋体"/>
          <w:color w:val="03005C"/>
          <w:kern w:val="36"/>
          <w:sz w:val="33"/>
          <w:szCs w:val="33"/>
        </w:rPr>
      </w:pPr>
      <w:r>
        <w:rPr>
          <w:rFonts w:hint="eastAsia" w:ascii="微软雅黑" w:hAnsi="微软雅黑" w:eastAsia="微软雅黑" w:cs="宋体"/>
          <w:color w:val="03005C"/>
          <w:kern w:val="36"/>
          <w:sz w:val="33"/>
          <w:szCs w:val="33"/>
        </w:rPr>
        <w:t>重大利好‖内蒙古财政厅发文：部分光伏电站免征土地使用税</w:t>
      </w:r>
    </w:p>
    <w:p>
      <w:pPr>
        <w:widowControl/>
        <w:spacing w:line="360" w:lineRule="atLeast"/>
        <w:jc w:val="left"/>
        <w:rPr>
          <w:rFonts w:hint="eastAsia" w:ascii="宋体" w:hAnsi="宋体" w:eastAsia="宋体" w:cs="宋体"/>
          <w:color w:val="282828"/>
          <w:kern w:val="0"/>
          <w:szCs w:val="21"/>
        </w:rPr>
      </w:pPr>
      <w:bookmarkStart w:id="0" w:name="_GoBack"/>
      <w:bookmarkEnd w:id="0"/>
      <w:r>
        <w:rPr>
          <w:rFonts w:hint="eastAsia" w:ascii="宋体" w:hAnsi="宋体" w:eastAsia="宋体" w:cs="宋体"/>
          <w:b/>
          <w:bCs/>
          <w:color w:val="282828"/>
          <w:kern w:val="0"/>
          <w:szCs w:val="21"/>
        </w:rPr>
        <w:t>各盟市财政局、地方税务局，满洲里市、二连浩特市财政局、地方税务局：</w:t>
      </w:r>
    </w:p>
    <w:p>
      <w:pPr>
        <w:widowControl/>
        <w:spacing w:after="360" w:line="360" w:lineRule="atLeast"/>
        <w:ind w:firstLine="480"/>
        <w:jc w:val="left"/>
        <w:rPr>
          <w:rFonts w:hint="eastAsia" w:ascii="宋体" w:hAnsi="宋体" w:eastAsia="宋体" w:cs="宋体"/>
          <w:color w:val="282828"/>
          <w:kern w:val="0"/>
          <w:szCs w:val="21"/>
        </w:rPr>
      </w:pPr>
      <w:r>
        <w:rPr>
          <w:rFonts w:hint="eastAsia" w:ascii="宋体" w:hAnsi="宋体" w:eastAsia="宋体" w:cs="宋体"/>
          <w:color w:val="282828"/>
          <w:kern w:val="0"/>
          <w:szCs w:val="21"/>
        </w:rPr>
        <w:t>为了深入贯彻落实习近平总书记考察内蒙古时的重要讲话精神，研究建立与生态文明建设相适应的财税制度，积极推进生态文明制度建设和改革，充分发挥税收职能作用，鼓励光伏发电行业发展，促进我区清洁能源输出基地建设，根据《中华人民共和国城镇土地使用税暂行条例》等相关规定，并结合光伏发电企业占地实际情况，现将我区城镇土地使用税开征范围内光伏发电企业不同类型占地如何适用城镇土地使用税政策明确如下：</w:t>
      </w:r>
    </w:p>
    <w:p>
      <w:pPr>
        <w:widowControl/>
        <w:spacing w:after="360" w:line="360" w:lineRule="atLeast"/>
        <w:ind w:firstLine="480"/>
        <w:jc w:val="left"/>
        <w:rPr>
          <w:rFonts w:hint="eastAsia" w:ascii="宋体" w:hAnsi="宋体" w:eastAsia="宋体" w:cs="宋体"/>
          <w:color w:val="282828"/>
          <w:kern w:val="0"/>
          <w:szCs w:val="21"/>
        </w:rPr>
      </w:pPr>
      <w:r>
        <w:rPr>
          <w:rFonts w:hint="eastAsia" w:ascii="宋体" w:hAnsi="宋体" w:eastAsia="宋体" w:cs="宋体"/>
          <w:color w:val="282828"/>
          <w:kern w:val="0"/>
          <w:szCs w:val="21"/>
        </w:rPr>
        <w:t>一、对光伏发电企业厂区（包括生产、办公及生活区，下同）内历史遗址、过境高压传输线、泄洪渠、水坝等无法实际占用的土地，不征收土地使用税。</w:t>
      </w:r>
    </w:p>
    <w:p>
      <w:pPr>
        <w:widowControl/>
        <w:spacing w:after="360" w:line="360" w:lineRule="atLeast"/>
        <w:ind w:firstLine="480"/>
        <w:jc w:val="left"/>
        <w:rPr>
          <w:rFonts w:hint="eastAsia" w:ascii="宋体" w:hAnsi="宋体" w:eastAsia="宋体" w:cs="宋体"/>
          <w:color w:val="282828"/>
          <w:kern w:val="0"/>
          <w:szCs w:val="21"/>
        </w:rPr>
      </w:pPr>
      <w:r>
        <w:rPr>
          <w:rFonts w:hint="eastAsia" w:ascii="宋体" w:hAnsi="宋体" w:eastAsia="宋体" w:cs="宋体"/>
          <w:color w:val="282828"/>
          <w:kern w:val="0"/>
          <w:szCs w:val="21"/>
        </w:rPr>
        <w:t>二、对光伏发电企业用地，如果土地性质属于农用地或未利用地，且被实际用于种养殖、水土保持、植被恢复、荒漠化治理、盐碱化治理工作的，可按条例中“直接用于农、林、牧、渔业的生产用地”免征土地使用税。</w:t>
      </w:r>
    </w:p>
    <w:p>
      <w:pPr>
        <w:widowControl/>
        <w:spacing w:after="360" w:line="360" w:lineRule="atLeast"/>
        <w:ind w:firstLine="480"/>
        <w:jc w:val="left"/>
        <w:rPr>
          <w:rFonts w:hint="eastAsia" w:ascii="宋体" w:hAnsi="宋体" w:eastAsia="宋体" w:cs="宋体"/>
          <w:color w:val="282828"/>
          <w:kern w:val="0"/>
          <w:szCs w:val="21"/>
        </w:rPr>
      </w:pPr>
      <w:r>
        <w:rPr>
          <w:rFonts w:hint="eastAsia" w:ascii="宋体" w:hAnsi="宋体" w:eastAsia="宋体" w:cs="宋体"/>
          <w:color w:val="282828"/>
          <w:kern w:val="0"/>
          <w:szCs w:val="21"/>
        </w:rPr>
        <w:t>三、对光伏发电企业的光伏板阵列基座、升压站、变电站、厂区道路等生产用地，以及办公用地、生活用地，应照章征收土地使用税。</w:t>
      </w:r>
    </w:p>
    <w:p>
      <w:pPr>
        <w:widowControl/>
        <w:spacing w:after="360" w:line="360" w:lineRule="atLeast"/>
        <w:ind w:firstLine="480"/>
        <w:jc w:val="left"/>
        <w:rPr>
          <w:rFonts w:hint="eastAsia" w:ascii="宋体" w:hAnsi="宋体" w:eastAsia="宋体" w:cs="宋体"/>
          <w:color w:val="282828"/>
          <w:kern w:val="0"/>
          <w:szCs w:val="21"/>
        </w:rPr>
      </w:pPr>
      <w:r>
        <w:rPr>
          <w:rFonts w:hint="eastAsia" w:ascii="宋体" w:hAnsi="宋体" w:eastAsia="宋体" w:cs="宋体"/>
          <w:color w:val="282828"/>
          <w:kern w:val="0"/>
          <w:szCs w:val="21"/>
        </w:rPr>
        <w:t>四、对光伏发电企业已办理土地使用权属证书的土地，按相关规定据实征收土地使用税。</w:t>
      </w:r>
    </w:p>
    <w:p>
      <w:pPr>
        <w:widowControl/>
        <w:spacing w:after="360" w:line="360" w:lineRule="atLeast"/>
        <w:ind w:firstLine="480"/>
        <w:jc w:val="center"/>
        <w:rPr>
          <w:rFonts w:hint="eastAsia" w:ascii="宋体" w:hAnsi="宋体" w:eastAsia="宋体" w:cs="宋体"/>
          <w:color w:val="282828"/>
          <w:kern w:val="0"/>
          <w:szCs w:val="21"/>
        </w:rPr>
      </w:pPr>
      <w:r>
        <w:rPr>
          <w:rFonts w:ascii="宋体" w:hAnsi="宋体" w:eastAsia="宋体" w:cs="宋体"/>
          <w:color w:val="282828"/>
          <w:kern w:val="0"/>
          <w:szCs w:val="21"/>
        </w:rPr>
        <w:drawing>
          <wp:inline distT="0" distB="0" distL="0" distR="0">
            <wp:extent cx="5716905" cy="6551930"/>
            <wp:effectExtent l="0" t="0" r="0" b="1270"/>
            <wp:docPr id="2" name="图片 2" descr="http://img01.mybjx.net/news/UploadFile/201801/201801100945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01.mybjx.net/news/UploadFile/201801/20180110094545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6905" cy="6551930"/>
                    </a:xfrm>
                    <a:prstGeom prst="rect">
                      <a:avLst/>
                    </a:prstGeom>
                    <a:noFill/>
                    <a:ln>
                      <a:noFill/>
                    </a:ln>
                  </pic:spPr>
                </pic:pic>
              </a:graphicData>
            </a:graphic>
          </wp:inline>
        </w:drawing>
      </w:r>
    </w:p>
    <w:p>
      <w:pPr>
        <w:widowControl/>
        <w:spacing w:after="360" w:line="360" w:lineRule="atLeast"/>
        <w:ind w:firstLine="480"/>
        <w:jc w:val="center"/>
        <w:rPr>
          <w:rFonts w:hint="eastAsia" w:ascii="宋体" w:hAnsi="宋体" w:eastAsia="宋体" w:cs="宋体"/>
          <w:color w:val="282828"/>
          <w:kern w:val="0"/>
          <w:szCs w:val="21"/>
        </w:rPr>
      </w:pPr>
      <w:r>
        <w:rPr>
          <w:rFonts w:ascii="宋体" w:hAnsi="宋体" w:eastAsia="宋体" w:cs="宋体"/>
          <w:color w:val="282828"/>
          <w:kern w:val="0"/>
          <w:szCs w:val="21"/>
        </w:rPr>
        <w:drawing>
          <wp:inline distT="0" distB="0" distL="0" distR="0">
            <wp:extent cx="5716905" cy="7037070"/>
            <wp:effectExtent l="0" t="0" r="0" b="0"/>
            <wp:docPr id="1" name="图片 1" descr="http://img01.mybjx.net/news/UploadFile/201801/201801100945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img01.mybjx.net/news/UploadFile/201801/20180110094555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16905" cy="7037070"/>
                    </a:xfrm>
                    <a:prstGeom prst="rect">
                      <a:avLst/>
                    </a:prstGeom>
                    <a:noFill/>
                    <a:ln>
                      <a:noFill/>
                    </a:ln>
                  </pic:spPr>
                </pic:pic>
              </a:graphicData>
            </a:graphic>
          </wp:inline>
        </w:drawing>
      </w:r>
    </w:p>
    <w:p>
      <w:pPr>
        <w:widowControl/>
        <w:spacing w:line="450" w:lineRule="atLeast"/>
        <w:jc w:val="center"/>
        <w:rPr>
          <w:rFonts w:hint="eastAsia" w:ascii="宋体" w:hAnsi="宋体" w:eastAsia="宋体" w:cs="宋体"/>
          <w:color w:val="282828"/>
          <w:kern w:val="0"/>
          <w:sz w:val="18"/>
          <w:szCs w:val="18"/>
        </w:rPr>
      </w:pPr>
      <w:r>
        <w:fldChar w:fldCharType="begin"/>
      </w:r>
      <w:r>
        <w:instrText xml:space="preserve"> HYPERLINK "http://guangfu.bjx.com.cn/" </w:instrText>
      </w:r>
      <w:r>
        <w:fldChar w:fldCharType="separate"/>
      </w:r>
      <w:r>
        <w:rPr>
          <w:rFonts w:hint="eastAsia" w:ascii="宋体" w:hAnsi="宋体" w:eastAsia="宋体" w:cs="宋体"/>
          <w:b/>
          <w:bCs/>
          <w:color w:val="FF0000"/>
          <w:kern w:val="0"/>
          <w:szCs w:val="21"/>
          <w:u w:val="single"/>
        </w:rPr>
        <w:t>点击查看更多精彩资讯</w:t>
      </w:r>
      <w:r>
        <w:rPr>
          <w:rFonts w:hint="eastAsia" w:ascii="宋体" w:hAnsi="宋体" w:eastAsia="宋体" w:cs="宋体"/>
          <w:b/>
          <w:bCs/>
          <w:color w:val="FF0000"/>
          <w:kern w:val="0"/>
          <w:szCs w:val="21"/>
          <w:u w:val="single"/>
        </w:rPr>
        <w:fldChar w:fldCharType="end"/>
      </w:r>
    </w:p>
    <w:p>
      <w:pPr>
        <w:widowControl/>
        <w:spacing w:before="150" w:after="150" w:line="450" w:lineRule="atLeast"/>
        <w:jc w:val="center"/>
        <w:outlineLvl w:val="0"/>
        <w:rPr>
          <w:rFonts w:ascii="微软雅黑" w:hAnsi="微软雅黑" w:eastAsia="微软雅黑" w:cs="宋体"/>
          <w:color w:val="03005C"/>
          <w:kern w:val="36"/>
          <w:sz w:val="33"/>
          <w:szCs w:val="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5D"/>
    <w:rsid w:val="000C4A1F"/>
    <w:rsid w:val="0018435D"/>
    <w:rsid w:val="0041307F"/>
    <w:rsid w:val="00D2760A"/>
    <w:rsid w:val="03F5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标题 1 Char"/>
    <w:basedOn w:val="8"/>
    <w:link w:val="2"/>
    <w:uiPriority w:val="9"/>
    <w:rPr>
      <w:rFonts w:ascii="宋体" w:hAnsi="宋体" w:eastAsia="宋体" w:cs="宋体"/>
      <w:b/>
      <w:bCs/>
      <w:kern w:val="36"/>
      <w:sz w:val="48"/>
      <w:szCs w:val="48"/>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中国石化</Company>
  <Pages>3</Pages>
  <Words>201</Words>
  <Characters>1150</Characters>
  <Lines>9</Lines>
  <Paragraphs>2</Paragraphs>
  <TotalTime>24</TotalTime>
  <ScaleCrop>false</ScaleCrop>
  <LinksUpToDate>false</LinksUpToDate>
  <CharactersWithSpaces>1349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2021-04-25T08:34:00Z</dcterms:created>
  <dc:creator>王琦</dc:creator>
  <cp:lastModifiedBy>leiyun121212</cp:lastModifiedBy>
  <dcterms:modified xsi:type="dcterms:W3CDTF">2022-04-14T06:02:10Z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A4C50F007E5845F2BB6114E1CC1514E4</vt:lpwstr>
  </property>
</Properties>
</file>