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10" w:rsidRPr="00EB3680" w:rsidRDefault="008D4210" w:rsidP="008D4210">
      <w:pPr>
        <w:pStyle w:val="1"/>
        <w:ind w:firstLineChars="200" w:firstLine="880"/>
        <w:rPr>
          <w:rStyle w:val="11Char"/>
          <w:rFonts w:eastAsiaTheme="minorEastAsia"/>
        </w:rPr>
      </w:pPr>
      <w:bookmarkStart w:id="0" w:name="_Toc90643454"/>
      <w:bookmarkStart w:id="1" w:name="_Toc76735655"/>
      <w:bookmarkStart w:id="2" w:name="_Toc115080206"/>
      <w:r w:rsidRPr="00EB3680">
        <w:rPr>
          <w:rStyle w:val="11Char"/>
          <w:rFonts w:eastAsiaTheme="minorEastAsia"/>
        </w:rPr>
        <w:t>关于进</w:t>
      </w:r>
      <w:bookmarkStart w:id="3" w:name="_GoBack"/>
      <w:bookmarkEnd w:id="3"/>
      <w:r w:rsidRPr="00EB3680">
        <w:rPr>
          <w:rStyle w:val="11Char"/>
          <w:rFonts w:eastAsiaTheme="minorEastAsia"/>
        </w:rPr>
        <w:t>一步加强地热回灌工作的通知</w:t>
      </w:r>
      <w:bookmarkEnd w:id="0"/>
      <w:bookmarkEnd w:id="2"/>
    </w:p>
    <w:p w:rsidR="008D4210" w:rsidRPr="00DA2B24" w:rsidRDefault="008D4210" w:rsidP="008D4210">
      <w:pPr>
        <w:pStyle w:val="2"/>
        <w:ind w:firstLineChars="200" w:firstLine="640"/>
      </w:pPr>
      <w:bookmarkStart w:id="4" w:name="_Toc90643455"/>
      <w:bookmarkStart w:id="5" w:name="_Toc115080207"/>
      <w:r w:rsidRPr="00DA2B24">
        <w:t>（津国</w:t>
      </w:r>
      <w:proofErr w:type="gramStart"/>
      <w:r w:rsidRPr="00DA2B24">
        <w:t>土房热</w:t>
      </w:r>
      <w:proofErr w:type="gramEnd"/>
      <w:r w:rsidRPr="00DA2B24">
        <w:t>〔2011〕458号</w:t>
      </w:r>
      <w:bookmarkEnd w:id="1"/>
      <w:r w:rsidRPr="00DA2B24">
        <w:t>）</w:t>
      </w:r>
      <w:bookmarkEnd w:id="4"/>
      <w:bookmarkEnd w:id="5"/>
    </w:p>
    <w:p w:rsidR="008D4210" w:rsidRPr="00DA2B24" w:rsidRDefault="008D4210" w:rsidP="008D4210">
      <w:pPr>
        <w:ind w:firstLineChars="200" w:firstLine="480"/>
        <w:rPr>
          <w:rFonts w:ascii="Times New Roman" w:hAnsi="Times New Roman" w:cs="Times New Roman"/>
          <w:color w:val="000000" w:themeColor="text1"/>
        </w:rPr>
      </w:pP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各相关单位：</w:t>
      </w:r>
      <w:r w:rsidRPr="00DA2B24">
        <w:rPr>
          <w:rFonts w:ascii="Times New Roman" w:hAnsi="Times New Roman" w:cs="Times New Roman"/>
          <w:color w:val="000000" w:themeColor="text1"/>
        </w:rPr>
        <w:t xml:space="preserve"> </w:t>
      </w: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为充分利用热能，减少地热流体直接排放对环境的污染，实现地热资源的可持续利用，现就进一步加强地热回灌工作通知如下：</w:t>
      </w:r>
      <w:r w:rsidRPr="00DA2B24">
        <w:rPr>
          <w:rFonts w:ascii="Times New Roman" w:hAnsi="Times New Roman" w:cs="Times New Roman"/>
          <w:color w:val="000000" w:themeColor="text1"/>
        </w:rPr>
        <w:t xml:space="preserve"> </w:t>
      </w: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一、地热探矿权人、采矿权人承担回灌开采义务，应当依据《天津市地热资源管理规定》《地热资源地质勘查规范》（</w:t>
      </w:r>
      <w:r w:rsidRPr="00DA2B24">
        <w:rPr>
          <w:rFonts w:ascii="Times New Roman" w:hAnsi="Times New Roman" w:cs="Times New Roman"/>
          <w:color w:val="000000" w:themeColor="text1"/>
        </w:rPr>
        <w:t>GB/T11615--2010</w:t>
      </w:r>
      <w:r w:rsidRPr="00DA2B24">
        <w:rPr>
          <w:rFonts w:ascii="Times New Roman" w:hAnsi="Times New Roman" w:cs="Times New Roman"/>
          <w:color w:val="000000" w:themeColor="text1"/>
        </w:rPr>
        <w:t>）、《天津市地热回灌运行操作规程（试行）》（津国</w:t>
      </w:r>
      <w:proofErr w:type="gramStart"/>
      <w:r w:rsidRPr="00DA2B24">
        <w:rPr>
          <w:rFonts w:ascii="Times New Roman" w:hAnsi="Times New Roman" w:cs="Times New Roman"/>
          <w:color w:val="000000" w:themeColor="text1"/>
        </w:rPr>
        <w:t>土房热</w:t>
      </w:r>
      <w:proofErr w:type="gramEnd"/>
      <w:r w:rsidRPr="00DA2B24">
        <w:rPr>
          <w:rFonts w:ascii="Times New Roman" w:hAnsi="Times New Roman" w:cs="Times New Roman"/>
          <w:color w:val="000000" w:themeColor="text1"/>
        </w:rPr>
        <w:t>[2006]1031</w:t>
      </w:r>
      <w:r w:rsidRPr="00DA2B24">
        <w:rPr>
          <w:rFonts w:ascii="Times New Roman" w:hAnsi="Times New Roman" w:cs="Times New Roman"/>
          <w:color w:val="000000" w:themeColor="text1"/>
        </w:rPr>
        <w:t>号）做好回灌工作。</w:t>
      </w:r>
      <w:r w:rsidRPr="00DA2B24">
        <w:rPr>
          <w:rFonts w:ascii="Times New Roman" w:hAnsi="Times New Roman" w:cs="Times New Roman"/>
          <w:color w:val="000000" w:themeColor="text1"/>
        </w:rPr>
        <w:t xml:space="preserve"> </w:t>
      </w: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二、新立探矿权采矿</w:t>
      </w:r>
      <w:proofErr w:type="gramStart"/>
      <w:r w:rsidRPr="00DA2B24">
        <w:rPr>
          <w:rFonts w:ascii="Times New Roman" w:hAnsi="Times New Roman" w:cs="Times New Roman"/>
          <w:color w:val="000000" w:themeColor="text1"/>
        </w:rPr>
        <w:t>权用于</w:t>
      </w:r>
      <w:proofErr w:type="gramEnd"/>
      <w:r w:rsidRPr="00DA2B24">
        <w:rPr>
          <w:rFonts w:ascii="Times New Roman" w:hAnsi="Times New Roman" w:cs="Times New Roman"/>
          <w:color w:val="000000" w:themeColor="text1"/>
        </w:rPr>
        <w:t>建筑供暖的，应当按照对</w:t>
      </w:r>
      <w:proofErr w:type="gramStart"/>
      <w:r w:rsidRPr="00DA2B24">
        <w:rPr>
          <w:rFonts w:ascii="Times New Roman" w:hAnsi="Times New Roman" w:cs="Times New Roman"/>
          <w:color w:val="000000" w:themeColor="text1"/>
        </w:rPr>
        <w:t>井采灌</w:t>
      </w:r>
      <w:proofErr w:type="gramEnd"/>
      <w:r w:rsidRPr="00DA2B24">
        <w:rPr>
          <w:rFonts w:ascii="Times New Roman" w:hAnsi="Times New Roman" w:cs="Times New Roman"/>
          <w:color w:val="000000" w:themeColor="text1"/>
        </w:rPr>
        <w:t>开发利用要求进行可行性论证。签订探矿权采矿权出让协议时，应当按照《合同法》《担保法》，约定由受让方履行回灌保证义务。</w:t>
      </w:r>
      <w:r w:rsidRPr="00DA2B24">
        <w:rPr>
          <w:rFonts w:ascii="Times New Roman" w:hAnsi="Times New Roman" w:cs="Times New Roman"/>
          <w:color w:val="000000" w:themeColor="text1"/>
        </w:rPr>
        <w:t xml:space="preserve"> </w:t>
      </w: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三、出让协议约定开凿的地热开采井和回灌井全部竣工并经市国土房管局、建设方、施工方及监理单位验收合格并进行对井储量评价后，履约定金退还受让方。未按照出让协议规定的要求和期限开凿回灌井的，由市国土房管局书面通知当事人履行法定义务，逾期仍不履行开凿回灌井义务的，履约定金不予退还，由市国土房管局依据地热资源规划和资源保护要求，作为补打回灌井的补贴资金使用。具体办法由市国土房管局另行制定。</w:t>
      </w:r>
      <w:r w:rsidRPr="00DA2B24">
        <w:rPr>
          <w:rFonts w:ascii="Times New Roman" w:hAnsi="Times New Roman" w:cs="Times New Roman"/>
          <w:color w:val="000000" w:themeColor="text1"/>
        </w:rPr>
        <w:t xml:space="preserve"> </w:t>
      </w: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四、历史上所形成的开采单井，采矿权人要按照地热资源规划和资源保护要求补打回灌井，或进行地热井整合</w:t>
      </w:r>
      <w:proofErr w:type="gramStart"/>
      <w:r w:rsidRPr="00DA2B24">
        <w:rPr>
          <w:rFonts w:ascii="Times New Roman" w:hAnsi="Times New Roman" w:cs="Times New Roman"/>
          <w:color w:val="000000" w:themeColor="text1"/>
        </w:rPr>
        <w:t>形成采灌系统</w:t>
      </w:r>
      <w:proofErr w:type="gramEnd"/>
      <w:r w:rsidRPr="00DA2B24">
        <w:rPr>
          <w:rFonts w:ascii="Times New Roman" w:hAnsi="Times New Roman" w:cs="Times New Roman"/>
          <w:color w:val="000000" w:themeColor="text1"/>
        </w:rPr>
        <w:t>，市国土房管局将根据实施情况给予一定比例的补贴。在限制开采区，经批准有回灌能力的采矿权人应承担周边地热开采单井的回灌义务。中心城区和滨海新区核心区内用于供暖的地热开采单井，要在</w:t>
      </w:r>
      <w:r w:rsidRPr="00DA2B24">
        <w:rPr>
          <w:rFonts w:ascii="Times New Roman" w:hAnsi="Times New Roman" w:cs="Times New Roman"/>
          <w:color w:val="000000" w:themeColor="text1"/>
        </w:rPr>
        <w:t>2015</w:t>
      </w:r>
      <w:r w:rsidRPr="00DA2B24">
        <w:rPr>
          <w:rFonts w:ascii="Times New Roman" w:hAnsi="Times New Roman" w:cs="Times New Roman"/>
          <w:color w:val="000000" w:themeColor="text1"/>
        </w:rPr>
        <w:t>年前，完成补打回灌井工作或进行地热井整合，未按照要求补打回灌井或者进行资源整合的，不能实施回灌的，由市国土房管局依法处理。</w:t>
      </w:r>
      <w:r w:rsidRPr="00DA2B24">
        <w:rPr>
          <w:rFonts w:ascii="Times New Roman" w:hAnsi="Times New Roman" w:cs="Times New Roman"/>
          <w:color w:val="000000" w:themeColor="text1"/>
        </w:rPr>
        <w:t xml:space="preserve"> </w:t>
      </w: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五、回灌应当保证原水水质并采取同层回灌，特殊情况下</w:t>
      </w:r>
      <w:proofErr w:type="gramStart"/>
      <w:r w:rsidRPr="00DA2B24">
        <w:rPr>
          <w:rFonts w:ascii="Times New Roman" w:hAnsi="Times New Roman" w:cs="Times New Roman"/>
          <w:color w:val="000000" w:themeColor="text1"/>
        </w:rPr>
        <w:t>采取异层回灌</w:t>
      </w:r>
      <w:proofErr w:type="gramEnd"/>
      <w:r w:rsidRPr="00DA2B24">
        <w:rPr>
          <w:rFonts w:ascii="Times New Roman" w:hAnsi="Times New Roman" w:cs="Times New Roman"/>
          <w:color w:val="000000" w:themeColor="text1"/>
        </w:rPr>
        <w:t>的，必须做好可行性论证工作，并报市国土房管局批准。</w:t>
      </w:r>
      <w:r w:rsidRPr="00DA2B24">
        <w:rPr>
          <w:rFonts w:ascii="Times New Roman" w:hAnsi="Times New Roman" w:cs="Times New Roman"/>
          <w:color w:val="000000" w:themeColor="text1"/>
        </w:rPr>
        <w:t xml:space="preserve"> </w:t>
      </w:r>
    </w:p>
    <w:p w:rsidR="008D4210" w:rsidRPr="00DA2B24" w:rsidRDefault="008D4210" w:rsidP="008D4210">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六、对进行回灌的采矿权人，按照《天津市地热资源管理规定》第十五条和《关于地热矿产资源补偿费收费标准的通知》（津价房地〔</w:t>
      </w:r>
      <w:r w:rsidRPr="00DA2B24">
        <w:rPr>
          <w:rFonts w:ascii="Times New Roman" w:hAnsi="Times New Roman" w:cs="Times New Roman"/>
          <w:color w:val="000000" w:themeColor="text1"/>
        </w:rPr>
        <w:t>2005</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262</w:t>
      </w:r>
      <w:r w:rsidRPr="00DA2B24">
        <w:rPr>
          <w:rFonts w:ascii="Times New Roman" w:hAnsi="Times New Roman" w:cs="Times New Roman"/>
          <w:color w:val="000000" w:themeColor="text1"/>
        </w:rPr>
        <w:t>号）的规定，享受回灌量部分的地热矿产资源补偿费优惠政策。</w:t>
      </w:r>
      <w:r w:rsidRPr="00DA2B24">
        <w:rPr>
          <w:rFonts w:ascii="Times New Roman" w:hAnsi="Times New Roman" w:cs="Times New Roman"/>
          <w:color w:val="000000" w:themeColor="text1"/>
        </w:rPr>
        <w:t xml:space="preserve"> </w:t>
      </w:r>
    </w:p>
    <w:p w:rsidR="00327336" w:rsidRDefault="00327336"/>
    <w:sectPr w:rsidR="00327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2000000000000000000"/>
    <w:charset w:val="86"/>
    <w:family w:val="auto"/>
    <w:pitch w:val="variable"/>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10"/>
    <w:rsid w:val="00327336"/>
    <w:rsid w:val="008D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28BBD-3AD5-4676-B151-2D10D1F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210"/>
    <w:pPr>
      <w:widowControl w:val="0"/>
      <w:spacing w:line="420" w:lineRule="exact"/>
      <w:jc w:val="both"/>
    </w:pPr>
    <w:rPr>
      <w:rFonts w:eastAsia="宋体"/>
      <w:sz w:val="24"/>
    </w:rPr>
  </w:style>
  <w:style w:type="paragraph" w:styleId="1">
    <w:name w:val="heading 1"/>
    <w:basedOn w:val="a"/>
    <w:next w:val="a"/>
    <w:link w:val="10"/>
    <w:uiPriority w:val="9"/>
    <w:qFormat/>
    <w:rsid w:val="008D4210"/>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8D4210"/>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4210"/>
    <w:rPr>
      <w:rFonts w:eastAsia="宋体"/>
      <w:bCs/>
      <w:kern w:val="44"/>
      <w:sz w:val="44"/>
      <w:szCs w:val="44"/>
    </w:rPr>
  </w:style>
  <w:style w:type="character" w:customStyle="1" w:styleId="20">
    <w:name w:val="标题 2 字符"/>
    <w:basedOn w:val="a0"/>
    <w:link w:val="2"/>
    <w:uiPriority w:val="9"/>
    <w:rsid w:val="008D4210"/>
    <w:rPr>
      <w:rFonts w:asciiTheme="majorHAnsi" w:eastAsiaTheme="majorEastAsia" w:hAnsiTheme="majorHAnsi" w:cstheme="majorBidi"/>
      <w:b/>
      <w:bCs/>
      <w:sz w:val="32"/>
      <w:szCs w:val="32"/>
    </w:rPr>
  </w:style>
  <w:style w:type="paragraph" w:styleId="a3">
    <w:name w:val="Body Text"/>
    <w:aliases w:val="1正文文本"/>
    <w:basedOn w:val="a"/>
    <w:link w:val="a4"/>
    <w:qFormat/>
    <w:rsid w:val="008D4210"/>
    <w:pPr>
      <w:autoSpaceDE w:val="0"/>
      <w:autoSpaceDN w:val="0"/>
      <w:spacing w:line="720" w:lineRule="auto"/>
      <w:ind w:firstLineChars="200" w:firstLine="200"/>
      <w:jc w:val="left"/>
    </w:pPr>
    <w:rPr>
      <w:rFonts w:ascii="宋体" w:hAnsi="宋体" w:cs="宋体"/>
      <w:kern w:val="0"/>
      <w:szCs w:val="24"/>
      <w:lang w:val="zh-CN" w:bidi="zh-CN"/>
    </w:rPr>
  </w:style>
  <w:style w:type="character" w:customStyle="1" w:styleId="a4">
    <w:name w:val="正文文本 字符"/>
    <w:aliases w:val="1正文文本 字符"/>
    <w:basedOn w:val="a0"/>
    <w:link w:val="a3"/>
    <w:rsid w:val="008D4210"/>
    <w:rPr>
      <w:rFonts w:ascii="宋体" w:eastAsia="宋体" w:hAnsi="宋体" w:cs="宋体"/>
      <w:kern w:val="0"/>
      <w:sz w:val="24"/>
      <w:szCs w:val="24"/>
      <w:lang w:val="zh-CN" w:bidi="zh-CN"/>
    </w:rPr>
  </w:style>
  <w:style w:type="paragraph" w:customStyle="1" w:styleId="11">
    <w:name w:val="1（主1）"/>
    <w:basedOn w:val="a"/>
    <w:link w:val="11Char"/>
    <w:uiPriority w:val="1"/>
    <w:qFormat/>
    <w:rsid w:val="008D4210"/>
    <w:pPr>
      <w:pageBreakBefore/>
      <w:autoSpaceDE w:val="0"/>
      <w:autoSpaceDN w:val="0"/>
      <w:jc w:val="center"/>
      <w:outlineLvl w:val="0"/>
    </w:pPr>
    <w:rPr>
      <w:rFonts w:ascii="黑体" w:eastAsia="方正小标宋_GBK" w:hAnsi="黑体" w:cs="宋体"/>
      <w:color w:val="000000" w:themeColor="text1"/>
      <w:kern w:val="0"/>
      <w:sz w:val="44"/>
      <w:szCs w:val="32"/>
      <w:lang w:val="zh-CN" w:bidi="zh-CN"/>
    </w:rPr>
  </w:style>
  <w:style w:type="character" w:customStyle="1" w:styleId="11Char">
    <w:name w:val="1（主1） Char"/>
    <w:basedOn w:val="a0"/>
    <w:link w:val="11"/>
    <w:uiPriority w:val="1"/>
    <w:rsid w:val="008D4210"/>
    <w:rPr>
      <w:rFonts w:ascii="黑体" w:eastAsia="方正小标宋_GBK" w:hAnsi="黑体" w:cs="宋体"/>
      <w:color w:val="000000" w:themeColor="text1"/>
      <w:kern w:val="0"/>
      <w:sz w:val="44"/>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微软中国</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2022-09-26T03:18:00Z</dcterms:created>
  <dcterms:modified xsi:type="dcterms:W3CDTF">2022-09-26T03:18:00Z</dcterms:modified>
</cp:coreProperties>
</file>