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44" w:rsidRDefault="004A3B07" w:rsidP="004A3B07">
      <w:pPr>
        <w:pStyle w:val="1"/>
        <w:jc w:val="center"/>
      </w:pPr>
      <w:bookmarkStart w:id="0" w:name="_GoBack"/>
      <w:r>
        <w:rPr>
          <w:rFonts w:hint="eastAsia"/>
        </w:rPr>
        <w:t>山西省自然资源厅关于调整优化部分矿业权出让登记有关事项的通知</w:t>
      </w:r>
    </w:p>
    <w:bookmarkEnd w:id="0"/>
    <w:p w:rsidR="004A3B07" w:rsidRDefault="004A3B07" w:rsidP="004A3B07">
      <w:pPr>
        <w:pStyle w:val="2"/>
        <w:jc w:val="center"/>
      </w:pPr>
      <w:proofErr w:type="gramStart"/>
      <w:r w:rsidRPr="004A3B07">
        <w:t>晋自然资发</w:t>
      </w:r>
      <w:proofErr w:type="gramEnd"/>
      <w:r w:rsidRPr="004A3B07">
        <w:t>〔2023〕39号</w:t>
      </w:r>
    </w:p>
    <w:p w:rsidR="004A3B07" w:rsidRDefault="004A3B07" w:rsidP="004A3B07">
      <w:pPr>
        <w:ind w:firstLineChars="200" w:firstLine="420"/>
        <w:jc w:val="left"/>
      </w:pPr>
      <w:r>
        <w:rPr>
          <w:rFonts w:hint="eastAsia"/>
        </w:rPr>
        <w:t>各市规划和自然资源局、厅机关各处室局、厅属各事业单位：</w:t>
      </w:r>
    </w:p>
    <w:p w:rsidR="004A3B07" w:rsidRDefault="004A3B07" w:rsidP="004A3B07">
      <w:pPr>
        <w:ind w:firstLineChars="200" w:firstLine="420"/>
        <w:jc w:val="left"/>
      </w:pPr>
      <w:r>
        <w:rPr>
          <w:rFonts w:hint="eastAsia"/>
        </w:rPr>
        <w:t>为进一步深化行政审批制度改革，根据《自然资源部关于进一步完善矿产资源勘查开采登记管理的通知》（自然资</w:t>
      </w:r>
      <w:proofErr w:type="gramStart"/>
      <w:r>
        <w:rPr>
          <w:rFonts w:hint="eastAsia"/>
        </w:rPr>
        <w:t>规</w:t>
      </w:r>
      <w:proofErr w:type="gramEnd"/>
      <w:r>
        <w:rPr>
          <w:rFonts w:hint="eastAsia"/>
        </w:rPr>
        <w:t>〔</w:t>
      </w:r>
      <w:r>
        <w:t>2023〕4号）、《自然资源部关于深化矿产资源管理改革若干事项的意见》（自然资</w:t>
      </w:r>
      <w:proofErr w:type="gramStart"/>
      <w:r>
        <w:t>规</w:t>
      </w:r>
      <w:proofErr w:type="gramEnd"/>
      <w:r>
        <w:t>〔2023〕6号）、《山西省自然资源厅关于优化非煤矿产资源管理促进非煤矿业高质量发展的指导意见》（</w:t>
      </w:r>
      <w:proofErr w:type="gramStart"/>
      <w:r>
        <w:t>晋自然资发</w:t>
      </w:r>
      <w:proofErr w:type="gramEnd"/>
      <w:r>
        <w:t>〔2022〕43号），省厅决定调整优化部分矿产资源的矿业权出让、登记工作。现就有关事项通知如下。</w:t>
      </w:r>
    </w:p>
    <w:p w:rsidR="004A3B07" w:rsidRDefault="004A3B07" w:rsidP="004A3B07">
      <w:pPr>
        <w:ind w:firstLineChars="200" w:firstLine="420"/>
        <w:jc w:val="left"/>
      </w:pPr>
      <w:r>
        <w:rPr>
          <w:rFonts w:hint="eastAsia"/>
        </w:rPr>
        <w:t>一、总体要求</w:t>
      </w:r>
    </w:p>
    <w:p w:rsidR="004A3B07" w:rsidRDefault="004A3B07" w:rsidP="004A3B07">
      <w:pPr>
        <w:ind w:firstLineChars="200" w:firstLine="420"/>
        <w:jc w:val="left"/>
      </w:pPr>
      <w:r>
        <w:rPr>
          <w:rFonts w:hint="eastAsia"/>
        </w:rPr>
        <w:t>（一）各市规划和自然资源局（以下简称市局）要认真承接好省厅下放的矿业权出让、登记事项，做到办事标准不降低、行政效率有提高、管理机制有创新、服务发展见成效，按照“谁审批、谁监管”原则，要加强监督检查，协调开发时序，促进综合利用，保护合法权益。</w:t>
      </w:r>
    </w:p>
    <w:p w:rsidR="004A3B07" w:rsidRDefault="004A3B07" w:rsidP="004A3B07">
      <w:pPr>
        <w:ind w:firstLineChars="200" w:firstLine="420"/>
        <w:jc w:val="left"/>
      </w:pPr>
      <w:r>
        <w:rPr>
          <w:rFonts w:hint="eastAsia"/>
        </w:rPr>
        <w:t>（二）省厅各有关处室局要按照各自职责，主动推进相关矿业权出让、登记（含配号）和监督管理事项的调整完善，及时加强对各市局有关科室的业务指导，同步推动促进产业发展、优化发展环境、落实资源惠民等各项工作，共同实现省里放心、市县满意、企业安心、群众受益的共赢目标。</w:t>
      </w:r>
    </w:p>
    <w:p w:rsidR="004A3B07" w:rsidRDefault="004A3B07" w:rsidP="004A3B07">
      <w:pPr>
        <w:ind w:firstLineChars="200" w:firstLine="420"/>
        <w:jc w:val="left"/>
      </w:pPr>
      <w:r>
        <w:rPr>
          <w:rFonts w:hint="eastAsia"/>
        </w:rPr>
        <w:t>二、调整优化部分矿业权出让登记权限</w:t>
      </w:r>
    </w:p>
    <w:p w:rsidR="004A3B07" w:rsidRDefault="004A3B07" w:rsidP="004A3B07">
      <w:pPr>
        <w:ind w:firstLineChars="200" w:firstLine="420"/>
        <w:jc w:val="left"/>
      </w:pPr>
      <w:r>
        <w:rPr>
          <w:rFonts w:hint="eastAsia"/>
        </w:rPr>
        <w:t>（一）</w:t>
      </w:r>
      <w:r>
        <w:t>25种战略性矿产资源中，自然资源部负责石油、烃类天然气、页岩气、天然气水合物、放射性矿产、钨、稀土、锡、锑、</w:t>
      </w:r>
      <w:proofErr w:type="gramStart"/>
      <w:r>
        <w:t>钼</w:t>
      </w:r>
      <w:proofErr w:type="gramEnd"/>
      <w:r>
        <w:t>、钴、锂、钾盐、晶质石墨14种重要战略性矿产资源的矿业权出让、登记；省厅负责煤、煤层气、铁、铬、铜、铝、金、镍、锆、磷、萤石等11种战略性矿产资源的矿业权出让、登记。</w:t>
      </w:r>
    </w:p>
    <w:p w:rsidR="004A3B07" w:rsidRDefault="004A3B07" w:rsidP="004A3B07">
      <w:pPr>
        <w:ind w:firstLineChars="200" w:firstLine="420"/>
        <w:jc w:val="left"/>
      </w:pPr>
      <w:r>
        <w:rPr>
          <w:rFonts w:hint="eastAsia"/>
        </w:rPr>
        <w:t>鉴于地热矿业权管理制度尚在逐步完善中，根据《山西省人民政府办公厅关于全面推动地热能产业高质量发展的指导意见》（晋政办发〔</w:t>
      </w:r>
      <w:r>
        <w:t>2022〕68号），地热矿业权出让、登记工作继续由省厅负责。</w:t>
      </w:r>
    </w:p>
    <w:p w:rsidR="004A3B07" w:rsidRDefault="004A3B07" w:rsidP="004A3B07">
      <w:pPr>
        <w:ind w:firstLineChars="200" w:firstLine="420"/>
        <w:jc w:val="left"/>
      </w:pPr>
      <w:r>
        <w:rPr>
          <w:rFonts w:hint="eastAsia"/>
        </w:rPr>
        <w:t>各市局负责上述</w:t>
      </w:r>
      <w:r>
        <w:t>26个矿种之外的其他矿产资源的矿业权（不含储量规模为小型的河砂及砖瓦粘土采矿权）出让、登记工作。</w:t>
      </w:r>
    </w:p>
    <w:p w:rsidR="004A3B07" w:rsidRDefault="004A3B07" w:rsidP="004A3B07">
      <w:pPr>
        <w:ind w:firstLineChars="200" w:firstLine="420"/>
        <w:jc w:val="left"/>
      </w:pPr>
      <w:r>
        <w:rPr>
          <w:rFonts w:hint="eastAsia"/>
        </w:rPr>
        <w:t>县（市、区）级自然资源局（以下简称县局）负责储量规模为小型的河砂及砖瓦粘土采矿权出让、登记（详见附件）。</w:t>
      </w:r>
    </w:p>
    <w:p w:rsidR="004A3B07" w:rsidRDefault="004A3B07" w:rsidP="004A3B07">
      <w:pPr>
        <w:ind w:firstLineChars="200" w:firstLine="420"/>
        <w:jc w:val="left"/>
      </w:pPr>
      <w:r>
        <w:rPr>
          <w:rFonts w:hint="eastAsia"/>
        </w:rPr>
        <w:t>相关矿种探矿权的出让、登记权限同步下放市局管理。</w:t>
      </w:r>
    </w:p>
    <w:p w:rsidR="004A3B07" w:rsidRDefault="004A3B07" w:rsidP="004A3B07">
      <w:pPr>
        <w:ind w:firstLineChars="200" w:firstLine="420"/>
        <w:jc w:val="left"/>
      </w:pPr>
      <w:r>
        <w:rPr>
          <w:rFonts w:hint="eastAsia"/>
        </w:rPr>
        <w:t>（二）各设区市政府在推进区域非煤矿产资源整合优化时，需要将金、铁、铬、铜、铝、镍、锆、磷、萤石等</w:t>
      </w:r>
      <w:r>
        <w:t>9个矿种纳入矿区整合优化方案且已经省人民政府批准的，省厅将以“一事一议”方式委托相关市局依法依规进行出让，省厅按照批复的整合优化方案和《矿业权出让合同》等办理登记手续。</w:t>
      </w:r>
    </w:p>
    <w:p w:rsidR="004A3B07" w:rsidRDefault="004A3B07" w:rsidP="004A3B07">
      <w:pPr>
        <w:ind w:firstLineChars="200" w:firstLine="420"/>
        <w:jc w:val="left"/>
      </w:pPr>
      <w:r>
        <w:rPr>
          <w:rFonts w:hint="eastAsia"/>
        </w:rPr>
        <w:t>（三）属省厅出让、登记权限的矿种增列其它矿种的，由省厅会同相关市局办理出让、登记；属市局、县局出让、登记权限的矿种，不得增列省级出让、登记矿种。</w:t>
      </w:r>
    </w:p>
    <w:p w:rsidR="004A3B07" w:rsidRDefault="004A3B07" w:rsidP="004A3B07">
      <w:pPr>
        <w:ind w:firstLineChars="200" w:firstLine="420"/>
        <w:jc w:val="left"/>
      </w:pPr>
      <w:r>
        <w:rPr>
          <w:rFonts w:hint="eastAsia"/>
        </w:rPr>
        <w:lastRenderedPageBreak/>
        <w:t>（四）属市局负责出让、登记的矿业权，原则上不跨市行政区划设置，因矿床条件限制确需跨市行政区划的，由省厅指定其中一个市局办理出让、登记，其矿业权出让收益按照省矿业权出让收益征收管理办法有关规定核定征收。</w:t>
      </w:r>
    </w:p>
    <w:p w:rsidR="004A3B07" w:rsidRDefault="004A3B07" w:rsidP="004A3B07">
      <w:pPr>
        <w:ind w:firstLineChars="200" w:firstLine="420"/>
        <w:jc w:val="left"/>
      </w:pPr>
      <w:r>
        <w:rPr>
          <w:rFonts w:hint="eastAsia"/>
        </w:rPr>
        <w:t>（五）各市局对省厅下放的矿业权出让、登记工作，应按照省厅相关规定从严掌握，不得降低标准；在实施中不得越权审批，不得再次下放。</w:t>
      </w:r>
    </w:p>
    <w:p w:rsidR="004A3B07" w:rsidRDefault="004A3B07" w:rsidP="004A3B07">
      <w:pPr>
        <w:ind w:firstLineChars="200" w:firstLine="420"/>
        <w:jc w:val="left"/>
      </w:pPr>
      <w:r>
        <w:rPr>
          <w:rFonts w:hint="eastAsia"/>
        </w:rPr>
        <w:t>三、切实加强矿产资源规划管控</w:t>
      </w:r>
    </w:p>
    <w:p w:rsidR="004A3B07" w:rsidRDefault="004A3B07" w:rsidP="004A3B07">
      <w:pPr>
        <w:ind w:firstLineChars="200" w:firstLine="420"/>
        <w:jc w:val="left"/>
      </w:pPr>
      <w:r>
        <w:rPr>
          <w:rFonts w:hint="eastAsia"/>
        </w:rPr>
        <w:t>（一）办理矿业权出让、登记，应切实发挥矿产资源总体规划的指导和管控作用，并做好各级矿产资源规划衔接、修编工作。上下级规划对同一区域的勘查开采规划布局不匹配的，以上级规划为准。</w:t>
      </w:r>
    </w:p>
    <w:p w:rsidR="004A3B07" w:rsidRDefault="004A3B07" w:rsidP="004A3B07">
      <w:pPr>
        <w:ind w:firstLineChars="200" w:firstLine="420"/>
        <w:jc w:val="left"/>
      </w:pPr>
      <w:r>
        <w:rPr>
          <w:rFonts w:hint="eastAsia"/>
        </w:rPr>
        <w:t>（二）矿业权设置应符合国土空间规划及“三区三线”等空间管控要求，符合山西省矿产资源总体规划，市、县级矿产资源规划；各市及所辖县局的矿业权年度出让计划应及时报省厅备案。</w:t>
      </w:r>
    </w:p>
    <w:p w:rsidR="004A3B07" w:rsidRDefault="004A3B07" w:rsidP="004A3B07">
      <w:pPr>
        <w:ind w:firstLineChars="200" w:firstLine="420"/>
        <w:jc w:val="left"/>
      </w:pPr>
      <w:r>
        <w:rPr>
          <w:rFonts w:hint="eastAsia"/>
        </w:rPr>
        <w:t>（三）各市局拟设矿业</w:t>
      </w:r>
      <w:proofErr w:type="gramStart"/>
      <w:r>
        <w:rPr>
          <w:rFonts w:hint="eastAsia"/>
        </w:rPr>
        <w:t>权区域</w:t>
      </w:r>
      <w:proofErr w:type="gramEnd"/>
      <w:r>
        <w:rPr>
          <w:rFonts w:hint="eastAsia"/>
        </w:rPr>
        <w:t>不得进入省级管控的矿产资源规划区。为解决偏远山区居民住房改善要求，需要设置小型河砂、砖瓦粘土采矿权的，可由县局发放两年期短期许可证。</w:t>
      </w:r>
    </w:p>
    <w:p w:rsidR="004A3B07" w:rsidRDefault="004A3B07" w:rsidP="004A3B07">
      <w:pPr>
        <w:ind w:firstLineChars="200" w:firstLine="420"/>
        <w:jc w:val="left"/>
      </w:pPr>
      <w:r>
        <w:rPr>
          <w:rFonts w:hint="eastAsia"/>
        </w:rPr>
        <w:t>四、规范办理矿业权出让、登记</w:t>
      </w:r>
    </w:p>
    <w:p w:rsidR="004A3B07" w:rsidRDefault="004A3B07" w:rsidP="004A3B07">
      <w:pPr>
        <w:ind w:firstLineChars="200" w:firstLine="420"/>
        <w:jc w:val="left"/>
      </w:pPr>
      <w:r>
        <w:rPr>
          <w:rFonts w:hint="eastAsia"/>
        </w:rPr>
        <w:t>（一）各市局承接省厅下放矿业权，应参照执行省厅有关矿业权出让流程及程序、矿业权审批登记申报资料要求。不得层层加码、加重企业负担。</w:t>
      </w:r>
    </w:p>
    <w:p w:rsidR="004A3B07" w:rsidRDefault="004A3B07" w:rsidP="004A3B07">
      <w:pPr>
        <w:ind w:firstLineChars="200" w:firstLine="420"/>
        <w:jc w:val="left"/>
      </w:pPr>
      <w:r>
        <w:rPr>
          <w:rFonts w:hint="eastAsia"/>
        </w:rPr>
        <w:t>（二）各市局、县局要尽快将矿业权出让事项全面纳入全省矿业权出让管理系统，实施矿业权出让“不见面审核”和网上会商、联审、归档，实现全流程信息化、规范化管理。省厅下放管理、委托办理的矿业权出让完成后，相关电子资料应及时通过系统平台上传省厅归档，纸质档案由各级自然资源主管部门按档案管理有关规定存档。矿业权登记事项仍按照我省“三级联办”平台有关规定执行。</w:t>
      </w:r>
    </w:p>
    <w:p w:rsidR="004A3B07" w:rsidRDefault="004A3B07" w:rsidP="004A3B07">
      <w:pPr>
        <w:ind w:firstLineChars="200" w:firstLine="420"/>
        <w:jc w:val="left"/>
      </w:pPr>
      <w:r>
        <w:rPr>
          <w:rFonts w:hint="eastAsia"/>
        </w:rPr>
        <w:t>（三）各市局要切实加强对拟出让区块的地质勘查，以及矿产资源开发利用和矿山环境保护与土地复垦方案编制与审查等工作，配合本级财政、税务部门做好矿业权出让收益征收工作，及时与本级财政部门对接，将相关工作经费纳入本级财政预算。</w:t>
      </w:r>
    </w:p>
    <w:p w:rsidR="004A3B07" w:rsidRDefault="004A3B07" w:rsidP="004A3B07">
      <w:pPr>
        <w:ind w:firstLineChars="200" w:firstLine="420"/>
        <w:jc w:val="left"/>
      </w:pPr>
      <w:r>
        <w:rPr>
          <w:rFonts w:hint="eastAsia"/>
        </w:rPr>
        <w:t>（四）矿业权出让收益评估由省厅统一组织开展。除自然资源部负责出让、登记的矿种外，其它矿种的矿产资源储量评审备案工作，均由省厅负责。涉及建设项目压覆重要矿产的，由省厅负责评审备案，由自然资源部负责的石油、烃类天然气、页岩气、天然气水合物和放射性矿产资源除外。</w:t>
      </w:r>
    </w:p>
    <w:p w:rsidR="004A3B07" w:rsidRDefault="004A3B07" w:rsidP="004A3B07">
      <w:pPr>
        <w:ind w:firstLineChars="200" w:firstLine="420"/>
        <w:jc w:val="left"/>
      </w:pPr>
      <w:r>
        <w:rPr>
          <w:rFonts w:hint="eastAsia"/>
        </w:rPr>
        <w:t>（五）矿业权出让、登记完成前，各市局、县局自行在自然资源部统一配号系统申请配号，并按照“责权一致”的原则，做好矿业权信息管理系统修护工作。</w:t>
      </w:r>
    </w:p>
    <w:p w:rsidR="004A3B07" w:rsidRDefault="004A3B07" w:rsidP="004A3B07">
      <w:pPr>
        <w:ind w:firstLineChars="200" w:firstLine="420"/>
        <w:jc w:val="left"/>
      </w:pPr>
      <w:r>
        <w:rPr>
          <w:rFonts w:hint="eastAsia"/>
        </w:rPr>
        <w:t>（六）本通知实施前已</w:t>
      </w:r>
      <w:proofErr w:type="gramStart"/>
      <w:r>
        <w:rPr>
          <w:rFonts w:hint="eastAsia"/>
        </w:rPr>
        <w:t>收件未</w:t>
      </w:r>
      <w:proofErr w:type="gramEnd"/>
      <w:r>
        <w:rPr>
          <w:rFonts w:hint="eastAsia"/>
        </w:rPr>
        <w:t>办结的，按照本通知规定的登记权限，转交相关登记机关办理；实施之日起，各级自然资源主管部门一律按照本通知规定的出让、登记权限，办理矿业权出让、登记。</w:t>
      </w:r>
    </w:p>
    <w:p w:rsidR="004A3B07" w:rsidRDefault="004A3B07" w:rsidP="004A3B07">
      <w:pPr>
        <w:ind w:firstLineChars="200" w:firstLine="420"/>
        <w:jc w:val="left"/>
      </w:pPr>
      <w:r>
        <w:rPr>
          <w:rFonts w:hint="eastAsia"/>
        </w:rPr>
        <w:t>五、加强服务保障，做好审批衔接工作</w:t>
      </w:r>
    </w:p>
    <w:p w:rsidR="004A3B07" w:rsidRDefault="004A3B07" w:rsidP="004A3B07">
      <w:pPr>
        <w:ind w:firstLineChars="200" w:firstLine="420"/>
        <w:jc w:val="left"/>
      </w:pPr>
      <w:r>
        <w:rPr>
          <w:rFonts w:hint="eastAsia"/>
        </w:rPr>
        <w:t>（一）及时调整工作力量。各市局要做好人员力量的合理调配，做到“接得住、办得好”，切实保障省厅下放矿业权出让、登记权限后相关工作顺利开展。</w:t>
      </w:r>
    </w:p>
    <w:p w:rsidR="004A3B07" w:rsidRDefault="004A3B07" w:rsidP="004A3B07">
      <w:pPr>
        <w:ind w:firstLineChars="200" w:firstLine="420"/>
        <w:jc w:val="left"/>
      </w:pPr>
      <w:r>
        <w:rPr>
          <w:rFonts w:hint="eastAsia"/>
        </w:rPr>
        <w:t>（二）做好项目资料转交工作。原则上下放管理权限的省厅在办项目转交市局纸质件和对应的电子申请材料，办结项目转交电子审批数据。项目资料转交工作应于文件下发后一月内完成。</w:t>
      </w:r>
    </w:p>
    <w:p w:rsidR="004A3B07" w:rsidRDefault="004A3B07" w:rsidP="004A3B07">
      <w:pPr>
        <w:ind w:firstLineChars="200" w:firstLine="420"/>
        <w:jc w:val="left"/>
      </w:pPr>
      <w:r>
        <w:rPr>
          <w:rFonts w:hint="eastAsia"/>
        </w:rPr>
        <w:t>（三）定期进行数据交换。为确保矿业权管理基础信息公开工作的有效衔接，省厅</w:t>
      </w:r>
      <w:proofErr w:type="gramStart"/>
      <w:r>
        <w:rPr>
          <w:rFonts w:hint="eastAsia"/>
        </w:rPr>
        <w:t>矿业权处要</w:t>
      </w:r>
      <w:proofErr w:type="gramEnd"/>
      <w:r>
        <w:rPr>
          <w:rFonts w:hint="eastAsia"/>
        </w:rPr>
        <w:t>会同审批处、省自然资源事业发展中心，尽快建设形成统一的“两权”数据库，推动数据动态更新，及时共享。省厅、市局、县局要及时开展矿业权登记数据库更新工作，</w:t>
      </w:r>
      <w:r>
        <w:rPr>
          <w:rFonts w:hint="eastAsia"/>
        </w:rPr>
        <w:lastRenderedPageBreak/>
        <w:t>并于每月末进行交换更新和数据备份。</w:t>
      </w:r>
    </w:p>
    <w:p w:rsidR="004A3B07" w:rsidRDefault="004A3B07" w:rsidP="004A3B07">
      <w:pPr>
        <w:ind w:firstLineChars="200" w:firstLine="420"/>
        <w:jc w:val="left"/>
      </w:pPr>
      <w:r>
        <w:rPr>
          <w:rFonts w:hint="eastAsia"/>
        </w:rPr>
        <w:t>（四）各市局在实施过程中如</w:t>
      </w:r>
      <w:proofErr w:type="gramStart"/>
      <w:r>
        <w:rPr>
          <w:rFonts w:hint="eastAsia"/>
        </w:rPr>
        <w:t>遇相关</w:t>
      </w:r>
      <w:proofErr w:type="gramEnd"/>
      <w:r>
        <w:rPr>
          <w:rFonts w:hint="eastAsia"/>
        </w:rPr>
        <w:t>问题，须及时向省厅报告。各市局应按年度向省厅提交有关工作报告。</w:t>
      </w:r>
    </w:p>
    <w:p w:rsidR="004A3B07" w:rsidRDefault="004A3B07" w:rsidP="004A3B07">
      <w:pPr>
        <w:ind w:firstLineChars="200" w:firstLine="420"/>
        <w:jc w:val="left"/>
      </w:pPr>
      <w:r>
        <w:rPr>
          <w:rFonts w:hint="eastAsia"/>
        </w:rPr>
        <w:t>本通知自印发之日起施行，有效期</w:t>
      </w:r>
      <w:r>
        <w:t>5年。本通知实施前已印发的其他文件与本通知规定不一致的，以本通知为准。</w:t>
      </w:r>
    </w:p>
    <w:p w:rsidR="004A3B07" w:rsidRDefault="004A3B07" w:rsidP="004A3B07">
      <w:pPr>
        <w:ind w:firstLineChars="200" w:firstLine="420"/>
        <w:jc w:val="left"/>
      </w:pPr>
      <w:r>
        <w:t> </w:t>
      </w:r>
    </w:p>
    <w:p w:rsidR="004A3B07" w:rsidRDefault="004A3B07" w:rsidP="004A3B07">
      <w:pPr>
        <w:ind w:firstLineChars="200" w:firstLine="420"/>
        <w:jc w:val="left"/>
      </w:pPr>
      <w:r>
        <w:t> </w:t>
      </w:r>
    </w:p>
    <w:p w:rsidR="004A3B07" w:rsidRDefault="004A3B07" w:rsidP="004A3B07">
      <w:pPr>
        <w:ind w:firstLineChars="200" w:firstLine="420"/>
        <w:jc w:val="right"/>
      </w:pPr>
      <w:r>
        <w:rPr>
          <w:rFonts w:hint="eastAsia"/>
        </w:rPr>
        <w:t xml:space="preserve">　　　山西省自然资源厅</w:t>
      </w:r>
    </w:p>
    <w:p w:rsidR="004A3B07" w:rsidRDefault="004A3B07" w:rsidP="004A3B07">
      <w:pPr>
        <w:ind w:firstLineChars="200" w:firstLine="420"/>
        <w:jc w:val="right"/>
      </w:pPr>
      <w:r>
        <w:rPr>
          <w:rFonts w:hint="eastAsia"/>
        </w:rPr>
        <w:t xml:space="preserve">　</w:t>
      </w:r>
      <w:r>
        <w:t> 　2023年9月3日</w:t>
      </w:r>
    </w:p>
    <w:p w:rsidR="004A3B07" w:rsidRPr="004A3B07" w:rsidRDefault="004A3B07" w:rsidP="004A3B07">
      <w:pPr>
        <w:ind w:firstLineChars="200" w:firstLine="420"/>
        <w:jc w:val="center"/>
        <w:rPr>
          <w:rFonts w:hint="eastAsia"/>
        </w:rPr>
      </w:pPr>
    </w:p>
    <w:sectPr w:rsidR="004A3B07" w:rsidRPr="004A3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07"/>
    <w:rsid w:val="004A3B07"/>
    <w:rsid w:val="005A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5C09"/>
  <w15:chartTrackingRefBased/>
  <w15:docId w15:val="{E40873F1-E95F-4B87-83C2-13C2D026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A3B0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A3B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07"/>
    <w:rPr>
      <w:b/>
      <w:bCs/>
      <w:kern w:val="44"/>
      <w:sz w:val="44"/>
      <w:szCs w:val="44"/>
    </w:rPr>
  </w:style>
  <w:style w:type="character" w:customStyle="1" w:styleId="20">
    <w:name w:val="标题 2 字符"/>
    <w:basedOn w:val="a0"/>
    <w:link w:val="2"/>
    <w:uiPriority w:val="9"/>
    <w:rsid w:val="004A3B0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2593">
      <w:bodyDiv w:val="1"/>
      <w:marLeft w:val="0"/>
      <w:marRight w:val="0"/>
      <w:marTop w:val="0"/>
      <w:marBottom w:val="0"/>
      <w:divBdr>
        <w:top w:val="none" w:sz="0" w:space="0" w:color="auto"/>
        <w:left w:val="none" w:sz="0" w:space="0" w:color="auto"/>
        <w:bottom w:val="none" w:sz="0" w:space="0" w:color="auto"/>
        <w:right w:val="none" w:sz="0" w:space="0" w:color="auto"/>
      </w:divBdr>
      <w:divsChild>
        <w:div w:id="739526591">
          <w:marLeft w:val="0"/>
          <w:marRight w:val="0"/>
          <w:marTop w:val="0"/>
          <w:marBottom w:val="0"/>
          <w:divBdr>
            <w:top w:val="none" w:sz="0" w:space="0" w:color="auto"/>
            <w:left w:val="none" w:sz="0" w:space="0" w:color="auto"/>
            <w:bottom w:val="none" w:sz="0" w:space="0" w:color="auto"/>
            <w:right w:val="none" w:sz="0" w:space="0" w:color="auto"/>
          </w:divBdr>
          <w:divsChild>
            <w:div w:id="394552301">
              <w:marLeft w:val="0"/>
              <w:marRight w:val="0"/>
              <w:marTop w:val="0"/>
              <w:marBottom w:val="0"/>
              <w:divBdr>
                <w:top w:val="none" w:sz="0" w:space="0" w:color="auto"/>
                <w:left w:val="none" w:sz="0" w:space="0" w:color="auto"/>
                <w:bottom w:val="none" w:sz="0" w:space="0" w:color="auto"/>
                <w:right w:val="none" w:sz="0" w:space="0" w:color="auto"/>
              </w:divBdr>
              <w:divsChild>
                <w:div w:id="430706306">
                  <w:marLeft w:val="0"/>
                  <w:marRight w:val="0"/>
                  <w:marTop w:val="0"/>
                  <w:marBottom w:val="0"/>
                  <w:divBdr>
                    <w:top w:val="none" w:sz="0" w:space="0" w:color="auto"/>
                    <w:left w:val="none" w:sz="0" w:space="0" w:color="auto"/>
                    <w:bottom w:val="none" w:sz="0" w:space="0" w:color="auto"/>
                    <w:right w:val="none" w:sz="0" w:space="0" w:color="auto"/>
                  </w:divBdr>
                  <w:divsChild>
                    <w:div w:id="1838226618">
                      <w:marLeft w:val="0"/>
                      <w:marRight w:val="0"/>
                      <w:marTop w:val="0"/>
                      <w:marBottom w:val="0"/>
                      <w:divBdr>
                        <w:top w:val="none" w:sz="0" w:space="0" w:color="auto"/>
                        <w:left w:val="none" w:sz="0" w:space="0" w:color="auto"/>
                        <w:bottom w:val="none" w:sz="0" w:space="0" w:color="auto"/>
                        <w:right w:val="none" w:sz="0" w:space="0" w:color="auto"/>
                      </w:divBdr>
                      <w:divsChild>
                        <w:div w:id="431359513">
                          <w:marLeft w:val="0"/>
                          <w:marRight w:val="0"/>
                          <w:marTop w:val="0"/>
                          <w:marBottom w:val="0"/>
                          <w:divBdr>
                            <w:top w:val="none" w:sz="0" w:space="0" w:color="auto"/>
                            <w:left w:val="none" w:sz="0" w:space="0" w:color="auto"/>
                            <w:bottom w:val="none" w:sz="0" w:space="0" w:color="auto"/>
                            <w:right w:val="none" w:sz="0" w:space="0" w:color="auto"/>
                          </w:divBdr>
                          <w:divsChild>
                            <w:div w:id="977297989">
                              <w:marLeft w:val="0"/>
                              <w:marRight w:val="0"/>
                              <w:marTop w:val="0"/>
                              <w:marBottom w:val="0"/>
                              <w:divBdr>
                                <w:top w:val="none" w:sz="0" w:space="0" w:color="auto"/>
                                <w:left w:val="none" w:sz="0" w:space="0" w:color="auto"/>
                                <w:bottom w:val="none" w:sz="0" w:space="0" w:color="auto"/>
                                <w:right w:val="none" w:sz="0" w:space="0" w:color="auto"/>
                              </w:divBdr>
                              <w:divsChild>
                                <w:div w:id="674304940">
                                  <w:marLeft w:val="450"/>
                                  <w:marRight w:val="0"/>
                                  <w:marTop w:val="0"/>
                                  <w:marBottom w:val="750"/>
                                  <w:divBdr>
                                    <w:top w:val="none" w:sz="0" w:space="0" w:color="auto"/>
                                    <w:left w:val="none" w:sz="0" w:space="0" w:color="auto"/>
                                    <w:bottom w:val="none" w:sz="0" w:space="0" w:color="auto"/>
                                    <w:right w:val="none" w:sz="0" w:space="0" w:color="auto"/>
                                  </w:divBdr>
                                  <w:divsChild>
                                    <w:div w:id="744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2240</Characters>
  <Application>Microsoft Office Word</Application>
  <DocSecurity>0</DocSecurity>
  <Lines>18</Lines>
  <Paragraphs>5</Paragraphs>
  <ScaleCrop>false</ScaleCrop>
  <Company>微软中国</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2023-10-23T07:17:00Z</dcterms:created>
  <dcterms:modified xsi:type="dcterms:W3CDTF">2023-10-23T07:18:00Z</dcterms:modified>
</cp:coreProperties>
</file>